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428F" w14:textId="70B46F29" w:rsidR="00E12E72" w:rsidRPr="0070312F" w:rsidRDefault="00E12E72" w:rsidP="00E12E72">
      <w:pPr>
        <w:spacing w:before="240" w:after="240" w:line="240" w:lineRule="auto"/>
        <w:jc w:val="center"/>
        <w:rPr>
          <w:rFonts w:ascii="Arial" w:hAnsi="Arial" w:cs="Arial"/>
          <w:b/>
          <w:bCs/>
          <w:sz w:val="28"/>
          <w:szCs w:val="28"/>
        </w:rPr>
      </w:pPr>
      <w:r w:rsidRPr="0070312F">
        <w:rPr>
          <w:rFonts w:ascii="Arial" w:hAnsi="Arial" w:cs="Arial"/>
          <w:b/>
          <w:bCs/>
          <w:sz w:val="28"/>
          <w:szCs w:val="28"/>
        </w:rPr>
        <w:t>RESOLUÇÃO Nº 89/2021</w:t>
      </w:r>
      <w:r w:rsidR="00F63D16">
        <w:rPr>
          <w:rStyle w:val="Refdenotaderodap"/>
          <w:rFonts w:ascii="Arial" w:hAnsi="Arial" w:cs="Arial"/>
          <w:b/>
          <w:bCs/>
          <w:sz w:val="28"/>
          <w:szCs w:val="28"/>
        </w:rPr>
        <w:footnoteReference w:id="1"/>
      </w:r>
    </w:p>
    <w:p w14:paraId="3207393F" w14:textId="77777777" w:rsidR="00E12E72" w:rsidRPr="00E12E72" w:rsidRDefault="00E12E72" w:rsidP="00E12E72">
      <w:pPr>
        <w:spacing w:before="360" w:after="360" w:line="240" w:lineRule="auto"/>
        <w:ind w:left="4536"/>
        <w:jc w:val="both"/>
        <w:rPr>
          <w:rFonts w:ascii="Arial" w:hAnsi="Arial" w:cs="Arial"/>
          <w:i/>
          <w:iCs/>
          <w:sz w:val="20"/>
          <w:szCs w:val="20"/>
        </w:rPr>
      </w:pPr>
      <w:r w:rsidRPr="00E12E72">
        <w:rPr>
          <w:rFonts w:ascii="Arial" w:hAnsi="Arial" w:cs="Arial"/>
          <w:i/>
          <w:iCs/>
          <w:sz w:val="20"/>
          <w:szCs w:val="20"/>
        </w:rPr>
        <w:t>Dispõe sobre alterações do Regimento Interno.</w:t>
      </w:r>
    </w:p>
    <w:p w14:paraId="5A2C02CC" w14:textId="6866F31D" w:rsidR="00E12E72" w:rsidRPr="00E12E72" w:rsidRDefault="00E12E72" w:rsidP="00E12E72">
      <w:pPr>
        <w:ind w:firstLine="1134"/>
        <w:jc w:val="both"/>
        <w:rPr>
          <w:rFonts w:ascii="Arial" w:hAnsi="Arial" w:cs="Arial"/>
          <w:color w:val="FF0000"/>
          <w:sz w:val="24"/>
          <w:szCs w:val="24"/>
        </w:rPr>
      </w:pPr>
      <w:r w:rsidRPr="00E12E72">
        <w:rPr>
          <w:rFonts w:ascii="Arial" w:hAnsi="Arial" w:cs="Arial"/>
          <w:sz w:val="24"/>
          <w:szCs w:val="24"/>
        </w:rPr>
        <w:t xml:space="preserve">O </w:t>
      </w:r>
      <w:r w:rsidRPr="00E12E72">
        <w:rPr>
          <w:rFonts w:ascii="Arial" w:hAnsi="Arial" w:cs="Arial"/>
          <w:b/>
          <w:bCs/>
          <w:sz w:val="24"/>
          <w:szCs w:val="24"/>
        </w:rPr>
        <w:t>TRIBUNAL DE CONTAS DO ESTADO DO PARANÁ</w:t>
      </w:r>
      <w:r w:rsidRPr="00E12E72">
        <w:rPr>
          <w:rFonts w:ascii="Arial" w:hAnsi="Arial" w:cs="Arial"/>
          <w:sz w:val="24"/>
          <w:szCs w:val="24"/>
        </w:rPr>
        <w:t xml:space="preserve">, no uso das atribuições contidas nos </w:t>
      </w:r>
      <w:proofErr w:type="spellStart"/>
      <w:r w:rsidRPr="00E12E72">
        <w:rPr>
          <w:rFonts w:ascii="Arial" w:hAnsi="Arial" w:cs="Arial"/>
          <w:sz w:val="24"/>
          <w:szCs w:val="24"/>
        </w:rPr>
        <w:t>arts</w:t>
      </w:r>
      <w:proofErr w:type="spellEnd"/>
      <w:r w:rsidRPr="00E12E72">
        <w:rPr>
          <w:rFonts w:ascii="Arial" w:hAnsi="Arial" w:cs="Arial"/>
          <w:sz w:val="24"/>
          <w:szCs w:val="24"/>
        </w:rPr>
        <w:t xml:space="preserve">. 2º, I, 116, XII, e parágrafo único, da Lei Complementar nº 113, de 15 de dezembro de 2005, e no art. 5º, XIII, do Regimento Interno, e com base no art. 167 da citada Lei Complementar nº 113, de 2005, c/c os </w:t>
      </w:r>
      <w:proofErr w:type="spellStart"/>
      <w:r w:rsidRPr="00E12E72">
        <w:rPr>
          <w:rFonts w:ascii="Arial" w:hAnsi="Arial" w:cs="Arial"/>
          <w:sz w:val="24"/>
          <w:szCs w:val="24"/>
        </w:rPr>
        <w:t>arts</w:t>
      </w:r>
      <w:proofErr w:type="spellEnd"/>
      <w:r w:rsidRPr="00E12E72">
        <w:rPr>
          <w:rFonts w:ascii="Arial" w:hAnsi="Arial" w:cs="Arial"/>
          <w:sz w:val="24"/>
          <w:szCs w:val="24"/>
        </w:rPr>
        <w:t xml:space="preserve">. 188 a 192, também do Regimento Interno, e considerando o </w:t>
      </w:r>
      <w:hyperlink r:id="rId8" w:history="1">
        <w:r w:rsidRPr="0068044D">
          <w:rPr>
            <w:rStyle w:val="Hyperlink"/>
            <w:rFonts w:ascii="Arial" w:hAnsi="Arial" w:cs="Arial"/>
            <w:sz w:val="24"/>
            <w:szCs w:val="24"/>
          </w:rPr>
          <w:t>Acórdão nº 2.885/21 – Tribunal Pleno</w:t>
        </w:r>
      </w:hyperlink>
      <w:r w:rsidRPr="00E12E72">
        <w:rPr>
          <w:rFonts w:ascii="Arial" w:hAnsi="Arial" w:cs="Arial"/>
          <w:sz w:val="24"/>
          <w:szCs w:val="24"/>
        </w:rPr>
        <w:t>, Processo nº 450766/21,</w:t>
      </w:r>
      <w:r w:rsidRPr="00E12E72">
        <w:rPr>
          <w:rFonts w:ascii="Arial" w:hAnsi="Arial" w:cs="Arial"/>
          <w:color w:val="FF0000"/>
          <w:sz w:val="24"/>
          <w:szCs w:val="24"/>
        </w:rPr>
        <w:t xml:space="preserve"> </w:t>
      </w:r>
    </w:p>
    <w:p w14:paraId="65742EF0" w14:textId="77777777" w:rsidR="00E12E72" w:rsidRPr="00E12E72" w:rsidRDefault="00E12E72" w:rsidP="00E12E72">
      <w:pPr>
        <w:spacing w:before="360" w:after="360" w:line="240" w:lineRule="auto"/>
        <w:ind w:firstLine="1134"/>
        <w:jc w:val="both"/>
        <w:rPr>
          <w:rFonts w:ascii="Arial" w:hAnsi="Arial" w:cs="Arial"/>
          <w:b/>
          <w:bCs/>
          <w:sz w:val="24"/>
          <w:szCs w:val="24"/>
        </w:rPr>
      </w:pPr>
      <w:r w:rsidRPr="00E12E72">
        <w:rPr>
          <w:rFonts w:ascii="Arial" w:hAnsi="Arial" w:cs="Arial"/>
          <w:b/>
          <w:bCs/>
          <w:sz w:val="24"/>
          <w:szCs w:val="24"/>
        </w:rPr>
        <w:t xml:space="preserve">RESOLVE: </w:t>
      </w:r>
    </w:p>
    <w:p w14:paraId="35399D6E"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b/>
          <w:bCs/>
          <w:sz w:val="24"/>
          <w:szCs w:val="24"/>
        </w:rPr>
        <w:t>Art. 1º</w:t>
      </w:r>
      <w:r w:rsidRPr="00E12E72">
        <w:rPr>
          <w:rFonts w:ascii="Arial" w:hAnsi="Arial" w:cs="Arial"/>
          <w:sz w:val="24"/>
          <w:szCs w:val="24"/>
        </w:rPr>
        <w:t xml:space="preserve"> Os incisos I a VII e parágrafo único do art. 175-A, do Regimento Interno, passam a vigorar com a seguinte redação:</w:t>
      </w:r>
    </w:p>
    <w:p w14:paraId="7E59628B"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sz w:val="24"/>
          <w:szCs w:val="24"/>
        </w:rPr>
        <w:t>“</w:t>
      </w:r>
      <w:r w:rsidRPr="00E12E72">
        <w:rPr>
          <w:rFonts w:ascii="Arial" w:hAnsi="Arial" w:cs="Arial"/>
          <w:sz w:val="24"/>
          <w:szCs w:val="24"/>
          <w:u w:val="single"/>
        </w:rPr>
        <w:t>Art. 175-A.</w:t>
      </w:r>
      <w:r w:rsidRPr="00E12E72">
        <w:rPr>
          <w:rFonts w:ascii="Arial" w:hAnsi="Arial" w:cs="Arial"/>
          <w:b/>
          <w:bCs/>
          <w:sz w:val="24"/>
          <w:szCs w:val="24"/>
        </w:rPr>
        <w:t xml:space="preserve"> </w:t>
      </w:r>
      <w:r w:rsidRPr="00E12E72">
        <w:rPr>
          <w:rFonts w:ascii="Arial" w:hAnsi="Arial" w:cs="Arial"/>
          <w:sz w:val="24"/>
          <w:szCs w:val="24"/>
        </w:rPr>
        <w:t>..........</w:t>
      </w:r>
    </w:p>
    <w:p w14:paraId="462669AE"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sz w:val="24"/>
          <w:szCs w:val="24"/>
        </w:rPr>
        <w:t xml:space="preserve">I - </w:t>
      </w:r>
      <w:bookmarkStart w:id="1" w:name="_Hlk72248410"/>
      <w:r w:rsidRPr="00E12E72">
        <w:rPr>
          <w:rFonts w:ascii="Arial" w:hAnsi="Arial" w:cs="Arial"/>
          <w:sz w:val="24"/>
          <w:szCs w:val="24"/>
        </w:rPr>
        <w:t>promover a coparticipação da sociedade na missão de controlar a administração pública, garantindo o aprimoramento da gestão, dos atos e serviços prestados pelo Tribunal e pelas entidades e agentes públicos jurisdicionados ao Tribunal e visando a prevenção e correção de atos e procedimentos incompatíveis, quando possível;</w:t>
      </w:r>
      <w:bookmarkEnd w:id="1"/>
    </w:p>
    <w:p w14:paraId="4AB1035D"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sz w:val="24"/>
          <w:szCs w:val="24"/>
        </w:rPr>
        <w:t>II - orientar o cidadão e as entidades civis com relação à formulação de requerimento de pedido de acesso à informação, protocolo de requerimentos externos, denúncia regimental, representação e consultas perante o Tribunal de Contas;</w:t>
      </w:r>
    </w:p>
    <w:p w14:paraId="03DAE7BF"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sz w:val="24"/>
          <w:szCs w:val="24"/>
        </w:rPr>
        <w:t>III - divulgar, perante a sociedade, as atribuições da Ouvidoria, seus serviços e formas de acesso como instrumento de controle social;</w:t>
      </w:r>
    </w:p>
    <w:p w14:paraId="7FF93F82"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sz w:val="24"/>
          <w:szCs w:val="24"/>
        </w:rPr>
        <w:t>IV - receber, registrar, triar e encaminhar, quando necessário, as manifestações recebidas, aos setores do Tribunal de Contas para análise, manifestação e eventual adoção das medidas que o caso exigir;</w:t>
      </w:r>
    </w:p>
    <w:p w14:paraId="1806561D"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sz w:val="24"/>
          <w:szCs w:val="24"/>
        </w:rPr>
        <w:t xml:space="preserve">V - </w:t>
      </w:r>
      <w:bookmarkStart w:id="2" w:name="_Hlk72234213"/>
      <w:r w:rsidRPr="00E12E72">
        <w:rPr>
          <w:rFonts w:ascii="Arial" w:hAnsi="Arial" w:cs="Arial"/>
          <w:sz w:val="24"/>
          <w:szCs w:val="24"/>
        </w:rPr>
        <w:t>informar/responder ao cidadão e às entidades civis de forma ágil e objetiva, quanto ao andamento e ao resultado da manifestação encaminhada ao Tribunal de Contas, por intermédio da Ouvidoria de Contas, permitindo o fortalecimento da imagem institucional, consequente aproximação do órgão com a sociedade e o exercício do controle social;</w:t>
      </w:r>
      <w:bookmarkEnd w:id="2"/>
    </w:p>
    <w:p w14:paraId="462261FD"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sz w:val="24"/>
          <w:szCs w:val="24"/>
        </w:rPr>
        <w:lastRenderedPageBreak/>
        <w:t>VI - manter banco de dados com o objetivo de reduzir o número de solicitações internas e possibilitar, ao Tribunal de Contas, a utilização das manifestações dos cidadãos e das entidades civis em suas ações;</w:t>
      </w:r>
    </w:p>
    <w:p w14:paraId="3015FD61"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sz w:val="24"/>
          <w:szCs w:val="24"/>
        </w:rPr>
        <w:t xml:space="preserve">VII - </w:t>
      </w:r>
      <w:bookmarkStart w:id="3" w:name="_Hlk72234378"/>
      <w:r w:rsidRPr="00E12E72">
        <w:rPr>
          <w:rFonts w:ascii="Arial" w:hAnsi="Arial" w:cs="Arial"/>
          <w:sz w:val="24"/>
          <w:szCs w:val="24"/>
        </w:rPr>
        <w:t>elaborar o seu Manual de Procedimentos contendo, no mínimo, conceitos, princípios, direitos e deveres dos usuários do serviço, canais de comunicação, classificação das manifestações quanto à natureza, procedimentos para atendimento com prazo de resposta, procedimentos para encaminhamento das demandas, informações e fixação de prazos para elaboração de relatórios, e submetê-lo à aprovação, na forma estabelecida</w:t>
      </w:r>
      <w:bookmarkEnd w:id="3"/>
      <w:r w:rsidRPr="00E12E72">
        <w:rPr>
          <w:rFonts w:ascii="Arial" w:hAnsi="Arial" w:cs="Arial"/>
          <w:sz w:val="24"/>
          <w:szCs w:val="24"/>
        </w:rPr>
        <w:t>;</w:t>
      </w:r>
    </w:p>
    <w:p w14:paraId="56A63D3E"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bCs/>
          <w:sz w:val="24"/>
          <w:szCs w:val="24"/>
        </w:rPr>
        <w:t>...........................</w:t>
      </w:r>
    </w:p>
    <w:p w14:paraId="4288468B"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sz w:val="24"/>
          <w:szCs w:val="24"/>
        </w:rPr>
        <w:t>Parágrafo único. Quando as manifestações necessitarem de análise, manifestação, adoção de providências ou prestação de alguma informação, estas serão encaminhadas diretamente aos respectivos setores, nos termos do disposto no art. 151-A, VI; quando necessitarem de análise, manifestação, adoção de providências ou prestação de alguma informação das Inspetorias de Controle Externo, serão encaminhados ao respectivo Superintendente ou a servidor por ele designado.”</w:t>
      </w:r>
    </w:p>
    <w:p w14:paraId="0107263B"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b/>
          <w:bCs/>
          <w:sz w:val="24"/>
          <w:szCs w:val="24"/>
        </w:rPr>
        <w:t>Art. 2º</w:t>
      </w:r>
      <w:r w:rsidRPr="00E12E72">
        <w:rPr>
          <w:rFonts w:ascii="Arial" w:hAnsi="Arial" w:cs="Arial"/>
          <w:sz w:val="24"/>
          <w:szCs w:val="24"/>
        </w:rPr>
        <w:t xml:space="preserve"> Ficam incluídos no art. 175-A os incisos IX a XXIII, com a seguinte redação:</w:t>
      </w:r>
    </w:p>
    <w:p w14:paraId="0A524FD9"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sz w:val="24"/>
          <w:szCs w:val="24"/>
        </w:rPr>
        <w:t>“</w:t>
      </w:r>
      <w:r w:rsidRPr="00E12E72">
        <w:rPr>
          <w:rFonts w:ascii="Arial" w:hAnsi="Arial" w:cs="Arial"/>
          <w:sz w:val="24"/>
          <w:szCs w:val="24"/>
          <w:u w:val="single"/>
        </w:rPr>
        <w:t>Art. 175-A</w:t>
      </w:r>
      <w:r w:rsidRPr="00E12E72">
        <w:rPr>
          <w:rFonts w:ascii="Arial" w:hAnsi="Arial" w:cs="Arial"/>
          <w:sz w:val="24"/>
          <w:szCs w:val="24"/>
        </w:rPr>
        <w:t>. ..........</w:t>
      </w:r>
    </w:p>
    <w:p w14:paraId="12CDE3F8"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sz w:val="24"/>
          <w:szCs w:val="24"/>
        </w:rPr>
        <w:t>.............................</w:t>
      </w:r>
    </w:p>
    <w:p w14:paraId="7FAF5F8B"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sz w:val="24"/>
          <w:szCs w:val="24"/>
        </w:rPr>
        <w:t>IX - pesquisar informações e documentos referentes aos fatos noticiados nas manifestações, objetivando subsidiar a resposta conclusiva, quando possível, ou a análise da área técnica;</w:t>
      </w:r>
    </w:p>
    <w:p w14:paraId="05F153C5"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sz w:val="24"/>
          <w:szCs w:val="24"/>
        </w:rPr>
        <w:t>X - proceder com a certificação nos processos de pedido de acesso de informação, sempre que entregues as informações solicitadas ou, no caso de indeferimento, após transcorrido o prazo legal sem que tenha havido interposição de recurso;</w:t>
      </w:r>
    </w:p>
    <w:p w14:paraId="1627569B"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sz w:val="24"/>
          <w:szCs w:val="24"/>
        </w:rPr>
        <w:t>XI - proceder, nos termos regimentais, com o registro nos processos de denúncias anônimas ou insubsistentes, e encaminhá-los posteriormente à Coordenadoria-Geral de Fiscalização ou à Inspetoria de Controle Externo competente;</w:t>
      </w:r>
    </w:p>
    <w:p w14:paraId="7E3227F6"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sz w:val="24"/>
          <w:szCs w:val="24"/>
        </w:rPr>
        <w:t>XII - zelar por suas instalações físicas e manter meios de comunicação eletrônica, postal e telefônica para atendimento e recebimento das manifestações;</w:t>
      </w:r>
    </w:p>
    <w:p w14:paraId="6533F649"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sz w:val="24"/>
          <w:szCs w:val="24"/>
        </w:rPr>
        <w:t>XIII - acompanhar e requisitar da unidade responsável pela análise as informações sobre as providências adotadas referentes aos atendimentos registrados na Ouvidoria;</w:t>
      </w:r>
    </w:p>
    <w:p w14:paraId="157C3A58"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sz w:val="24"/>
          <w:szCs w:val="24"/>
        </w:rPr>
        <w:t>XIV - propor e estimular a realização de pesquisas, seminários e cursos sobre assuntos relativos ao exercício da cidadania, transparência pública e do controle social;</w:t>
      </w:r>
    </w:p>
    <w:p w14:paraId="59D7040E" w14:textId="40DF1136" w:rsid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sz w:val="24"/>
          <w:szCs w:val="24"/>
        </w:rPr>
        <w:t xml:space="preserve">XV - definir e avaliar metas e indicadores de desempenho, quanto ao prazo de atendimento das manifestações, satisfação do usuário, atuação em </w:t>
      </w:r>
      <w:r w:rsidRPr="00E12E72">
        <w:rPr>
          <w:rFonts w:ascii="Arial" w:hAnsi="Arial" w:cs="Arial"/>
          <w:sz w:val="24"/>
          <w:szCs w:val="24"/>
        </w:rPr>
        <w:lastRenderedPageBreak/>
        <w:t>eventos de estímulo ao controle social e à transparência e quantidade de pessoas capacitadas nos eventos de estímulo ao controle social e à transparência;</w:t>
      </w:r>
    </w:p>
    <w:p w14:paraId="48A41CA8" w14:textId="77777777" w:rsidR="00E12E72" w:rsidRPr="00E12E72" w:rsidRDefault="00E12E72" w:rsidP="00E12E72">
      <w:pPr>
        <w:jc w:val="right"/>
        <w:rPr>
          <w:rFonts w:ascii="Arial" w:hAnsi="Arial" w:cs="Arial"/>
          <w:sz w:val="24"/>
          <w:szCs w:val="24"/>
        </w:rPr>
      </w:pPr>
    </w:p>
    <w:p w14:paraId="28C36EDE"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sz w:val="24"/>
          <w:szCs w:val="24"/>
        </w:rPr>
        <w:t>XVI - colaborar e participar de cursos, seminários e eventos promovidos pela Escola de Gestão Pública do Tribunal de Contas;</w:t>
      </w:r>
    </w:p>
    <w:p w14:paraId="6C81160F"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sz w:val="24"/>
          <w:szCs w:val="24"/>
        </w:rPr>
        <w:t>XVII - incentivar a criação e o fortalecimento de canais de comunicação com a sociedade, preferencialmente das Ouvidorias dos Jurisdicionados ao Tribunal de Contas;</w:t>
      </w:r>
    </w:p>
    <w:p w14:paraId="2F382E5E"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sz w:val="24"/>
          <w:szCs w:val="24"/>
        </w:rPr>
        <w:t>XVIII - promover a sensibilização interna e externa sobre a importância da comunicação e da cultura da transparência;</w:t>
      </w:r>
    </w:p>
    <w:p w14:paraId="19579BCD"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sz w:val="24"/>
          <w:szCs w:val="24"/>
        </w:rPr>
        <w:t>XIX - realizar pesquisa de satisfação quanto à satisfação, qualidade e cumprimento de prazos, em relação aos serviços prestados;</w:t>
      </w:r>
    </w:p>
    <w:p w14:paraId="5100BE2B"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sz w:val="24"/>
          <w:szCs w:val="24"/>
        </w:rPr>
        <w:t>XX - dispor de espaço físico próprio destinado ao atendimento aos usuários do serviço público;</w:t>
      </w:r>
    </w:p>
    <w:p w14:paraId="248C6864"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sz w:val="24"/>
          <w:szCs w:val="24"/>
        </w:rPr>
        <w:t>XXI - divulgar a Carta de Serviço ao Usuário do Serviço Público, elaborada pelo Tribunal de Contas;</w:t>
      </w:r>
    </w:p>
    <w:p w14:paraId="398D85F7"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sz w:val="24"/>
          <w:szCs w:val="24"/>
        </w:rPr>
        <w:t xml:space="preserve">XXII - elaborar, bimestralmente relatório das atividades para entrega </w:t>
      </w:r>
      <w:proofErr w:type="spellStart"/>
      <w:r w:rsidRPr="00E12E72">
        <w:rPr>
          <w:rFonts w:ascii="Arial" w:hAnsi="Arial" w:cs="Arial"/>
          <w:sz w:val="24"/>
          <w:szCs w:val="24"/>
        </w:rPr>
        <w:t>a</w:t>
      </w:r>
      <w:proofErr w:type="spellEnd"/>
      <w:r w:rsidRPr="00E12E72">
        <w:rPr>
          <w:rFonts w:ascii="Arial" w:hAnsi="Arial" w:cs="Arial"/>
          <w:sz w:val="24"/>
          <w:szCs w:val="24"/>
        </w:rPr>
        <w:t xml:space="preserve"> Corregedoria-Geral;</w:t>
      </w:r>
    </w:p>
    <w:p w14:paraId="05593312"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sz w:val="24"/>
          <w:szCs w:val="24"/>
        </w:rPr>
        <w:t xml:space="preserve">XXIII - elaborar, anualmente, relatório das atividades da unidade, disponibilizando-o no portal do Tribunal na </w:t>
      </w:r>
      <w:r w:rsidRPr="00E12E72">
        <w:rPr>
          <w:rFonts w:ascii="Arial" w:hAnsi="Arial" w:cs="Arial"/>
          <w:i/>
          <w:iCs/>
          <w:sz w:val="24"/>
          <w:szCs w:val="24"/>
        </w:rPr>
        <w:t>internet</w:t>
      </w:r>
      <w:r w:rsidRPr="00E12E72">
        <w:rPr>
          <w:rFonts w:ascii="Arial" w:hAnsi="Arial" w:cs="Arial"/>
          <w:sz w:val="24"/>
          <w:szCs w:val="24"/>
        </w:rPr>
        <w:t xml:space="preserve"> junto ao espaço da Ouvidoria.”</w:t>
      </w:r>
    </w:p>
    <w:p w14:paraId="4A08E0F3" w14:textId="77777777" w:rsidR="00E12E72" w:rsidRPr="00E12E72" w:rsidRDefault="00E12E72" w:rsidP="00E12E72">
      <w:pPr>
        <w:spacing w:before="120" w:after="0" w:line="240" w:lineRule="auto"/>
        <w:ind w:firstLine="1134"/>
        <w:jc w:val="both"/>
        <w:rPr>
          <w:rFonts w:ascii="Arial" w:hAnsi="Arial" w:cs="Arial"/>
          <w:sz w:val="24"/>
          <w:szCs w:val="24"/>
        </w:rPr>
      </w:pPr>
      <w:r w:rsidRPr="00E12E72">
        <w:rPr>
          <w:rFonts w:ascii="Arial" w:hAnsi="Arial" w:cs="Arial"/>
          <w:b/>
          <w:bCs/>
          <w:sz w:val="24"/>
          <w:szCs w:val="24"/>
        </w:rPr>
        <w:t>Art. 3º</w:t>
      </w:r>
      <w:r w:rsidRPr="00E12E72">
        <w:rPr>
          <w:rFonts w:ascii="Arial" w:hAnsi="Arial" w:cs="Arial"/>
          <w:sz w:val="24"/>
          <w:szCs w:val="24"/>
        </w:rPr>
        <w:t xml:space="preserve"> Esta Resolução entra em vigor na data de sua publicação.</w:t>
      </w:r>
    </w:p>
    <w:p w14:paraId="51AAB8F2" w14:textId="77777777" w:rsidR="00E12E72" w:rsidRPr="00E12E72" w:rsidRDefault="00E12E72" w:rsidP="00E12E72">
      <w:pPr>
        <w:spacing w:before="360" w:after="0" w:line="240" w:lineRule="auto"/>
        <w:jc w:val="center"/>
        <w:rPr>
          <w:rFonts w:ascii="Arial" w:hAnsi="Arial" w:cs="Arial"/>
          <w:sz w:val="24"/>
          <w:szCs w:val="24"/>
        </w:rPr>
      </w:pPr>
      <w:r w:rsidRPr="00E12E72">
        <w:rPr>
          <w:rFonts w:ascii="Arial" w:hAnsi="Arial" w:cs="Arial"/>
          <w:sz w:val="24"/>
          <w:szCs w:val="24"/>
        </w:rPr>
        <w:t>Curitiba, 1º de dezembro de 2021.</w:t>
      </w:r>
    </w:p>
    <w:p w14:paraId="1D86009F" w14:textId="77777777" w:rsidR="00E12E72" w:rsidRPr="00E12E72" w:rsidRDefault="00E12E72" w:rsidP="00E12E72">
      <w:pPr>
        <w:spacing w:before="360" w:after="0" w:line="240" w:lineRule="auto"/>
        <w:jc w:val="center"/>
        <w:rPr>
          <w:rFonts w:ascii="Arial" w:hAnsi="Arial" w:cs="Arial"/>
          <w:bCs/>
          <w:color w:val="808080"/>
          <w:sz w:val="24"/>
          <w:szCs w:val="24"/>
          <w:lang w:eastAsia="pt-BR"/>
        </w:rPr>
      </w:pPr>
      <w:r w:rsidRPr="00E12E72">
        <w:rPr>
          <w:rFonts w:ascii="Arial" w:hAnsi="Arial" w:cs="Arial"/>
          <w:bCs/>
          <w:color w:val="808080"/>
          <w:sz w:val="24"/>
          <w:szCs w:val="24"/>
        </w:rPr>
        <w:t>- assinatura digital -</w:t>
      </w:r>
    </w:p>
    <w:p w14:paraId="38D28C09" w14:textId="77777777" w:rsidR="00E12E72" w:rsidRPr="00E12E72" w:rsidRDefault="00E12E72" w:rsidP="00E12E72">
      <w:pPr>
        <w:spacing w:before="120" w:after="0" w:line="240" w:lineRule="auto"/>
        <w:jc w:val="center"/>
        <w:rPr>
          <w:rFonts w:ascii="Arial" w:hAnsi="Arial" w:cs="Arial"/>
          <w:bCs/>
          <w:sz w:val="24"/>
          <w:szCs w:val="24"/>
        </w:rPr>
      </w:pPr>
      <w:bookmarkStart w:id="4" w:name="_Hlk536444639"/>
      <w:r w:rsidRPr="00E12E72">
        <w:rPr>
          <w:rFonts w:ascii="Arial" w:hAnsi="Arial" w:cs="Arial"/>
          <w:bCs/>
          <w:sz w:val="24"/>
          <w:szCs w:val="24"/>
        </w:rPr>
        <w:t xml:space="preserve">Conselheiro </w:t>
      </w:r>
      <w:bookmarkEnd w:id="4"/>
      <w:r w:rsidRPr="00E12E72">
        <w:rPr>
          <w:rFonts w:ascii="Arial" w:hAnsi="Arial" w:cs="Arial"/>
          <w:b/>
          <w:sz w:val="24"/>
          <w:szCs w:val="24"/>
        </w:rPr>
        <w:t>FABIO DE SOUZA CAMARGO</w:t>
      </w:r>
    </w:p>
    <w:p w14:paraId="0052F88F" w14:textId="77777777" w:rsidR="00E12E72" w:rsidRPr="00E12E72" w:rsidRDefault="00E12E72" w:rsidP="00E12E72">
      <w:pPr>
        <w:spacing w:after="0" w:line="240" w:lineRule="auto"/>
        <w:jc w:val="center"/>
        <w:rPr>
          <w:rFonts w:ascii="Arial" w:hAnsi="Arial" w:cs="Arial"/>
          <w:bCs/>
          <w:noProof/>
          <w:sz w:val="24"/>
          <w:szCs w:val="24"/>
        </w:rPr>
      </w:pPr>
      <w:r w:rsidRPr="00E12E72">
        <w:rPr>
          <w:rFonts w:ascii="Arial" w:hAnsi="Arial" w:cs="Arial"/>
          <w:bCs/>
          <w:sz w:val="24"/>
          <w:szCs w:val="24"/>
        </w:rPr>
        <w:t>Presidente</w:t>
      </w:r>
    </w:p>
    <w:p w14:paraId="0FDB0A4D" w14:textId="77777777" w:rsidR="00620093" w:rsidRDefault="00620093"/>
    <w:sectPr w:rsidR="00620093" w:rsidSect="00E12E72">
      <w:headerReference w:type="default" r:id="rId9"/>
      <w:footnotePr>
        <w:numFmt w:val="chicago"/>
      </w:footnotePr>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4CC3F" w14:textId="77777777" w:rsidR="00BB23D4" w:rsidRDefault="00BB23D4" w:rsidP="00E12E72">
      <w:pPr>
        <w:spacing w:after="0" w:line="240" w:lineRule="auto"/>
      </w:pPr>
      <w:r>
        <w:separator/>
      </w:r>
    </w:p>
  </w:endnote>
  <w:endnote w:type="continuationSeparator" w:id="0">
    <w:p w14:paraId="1590A985" w14:textId="77777777" w:rsidR="00BB23D4" w:rsidRDefault="00BB23D4" w:rsidP="00E1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79B9E" w14:textId="77777777" w:rsidR="00BB23D4" w:rsidRDefault="00BB23D4" w:rsidP="00E12E72">
      <w:pPr>
        <w:spacing w:after="0" w:line="240" w:lineRule="auto"/>
      </w:pPr>
      <w:r>
        <w:separator/>
      </w:r>
    </w:p>
  </w:footnote>
  <w:footnote w:type="continuationSeparator" w:id="0">
    <w:p w14:paraId="042776A0" w14:textId="77777777" w:rsidR="00BB23D4" w:rsidRDefault="00BB23D4" w:rsidP="00E12E72">
      <w:pPr>
        <w:spacing w:after="0" w:line="240" w:lineRule="auto"/>
      </w:pPr>
      <w:r>
        <w:continuationSeparator/>
      </w:r>
    </w:p>
  </w:footnote>
  <w:footnote w:id="1">
    <w:p w14:paraId="6F2BDA72" w14:textId="77777777" w:rsidR="00F63D16" w:rsidRPr="00C85078" w:rsidRDefault="00F63D16" w:rsidP="00F63D16">
      <w:pPr>
        <w:pStyle w:val="Textodenotaderodap"/>
        <w:rPr>
          <w:rFonts w:ascii="Arial" w:hAnsi="Arial" w:cs="Arial"/>
        </w:rPr>
      </w:pPr>
      <w:r>
        <w:rPr>
          <w:rStyle w:val="Refdenotaderodap"/>
        </w:rPr>
        <w:footnoteRef/>
      </w:r>
      <w:r>
        <w:t xml:space="preserve"> </w:t>
      </w:r>
      <w:bookmarkStart w:id="0" w:name="_Hlk37068492"/>
      <w:r w:rsidRPr="00C85078">
        <w:rPr>
          <w:rFonts w:ascii="Arial" w:hAnsi="Arial" w:cs="Arial"/>
          <w:b/>
        </w:rPr>
        <w:t>Notas da Biblioteca:</w:t>
      </w:r>
    </w:p>
    <w:p w14:paraId="00683902" w14:textId="3E6D432C" w:rsidR="00F63D16" w:rsidRPr="000B7016" w:rsidRDefault="00F63D16" w:rsidP="000B7016">
      <w:pPr>
        <w:pStyle w:val="Textodenotaderodap"/>
        <w:numPr>
          <w:ilvl w:val="0"/>
          <w:numId w:val="3"/>
        </w:numPr>
        <w:ind w:left="426" w:hanging="284"/>
        <w:jc w:val="both"/>
        <w:rPr>
          <w:rFonts w:ascii="Arial" w:hAnsi="Arial" w:cs="Arial"/>
        </w:rPr>
      </w:pPr>
      <w:r w:rsidRPr="000B7016">
        <w:rPr>
          <w:rFonts w:ascii="Arial" w:hAnsi="Arial" w:cs="Arial"/>
        </w:rPr>
        <w:t xml:space="preserve">Este texto não substitui o publicado no periódico: </w:t>
      </w:r>
      <w:bookmarkEnd w:id="0"/>
      <w:r w:rsidR="00316BB2" w:rsidRPr="000B7016">
        <w:rPr>
          <w:rStyle w:val="Forte"/>
          <w:rFonts w:ascii="Arial" w:hAnsi="Arial" w:cs="Arial"/>
        </w:rPr>
        <w:fldChar w:fldCharType="begin"/>
      </w:r>
      <w:r w:rsidR="00316BB2" w:rsidRPr="000B7016">
        <w:rPr>
          <w:rStyle w:val="Forte"/>
          <w:rFonts w:ascii="Arial" w:hAnsi="Arial" w:cs="Arial"/>
        </w:rPr>
        <w:instrText xml:space="preserve"> HYPERLINK "https://www1.tce.pr.gov.br/multimidia/2021/12/pdf/00362586.pdf" </w:instrText>
      </w:r>
      <w:r w:rsidR="00316BB2" w:rsidRPr="000B7016">
        <w:rPr>
          <w:rStyle w:val="Forte"/>
          <w:rFonts w:ascii="Arial" w:hAnsi="Arial" w:cs="Arial"/>
        </w:rPr>
      </w:r>
      <w:r w:rsidR="00316BB2" w:rsidRPr="000B7016">
        <w:rPr>
          <w:rStyle w:val="Forte"/>
          <w:rFonts w:ascii="Arial" w:hAnsi="Arial" w:cs="Arial"/>
        </w:rPr>
        <w:fldChar w:fldCharType="separate"/>
      </w:r>
      <w:r w:rsidR="00316BB2" w:rsidRPr="000B7016">
        <w:rPr>
          <w:rStyle w:val="Hyperlink"/>
          <w:rFonts w:ascii="Arial" w:hAnsi="Arial" w:cs="Arial"/>
          <w:b/>
          <w:bCs/>
        </w:rPr>
        <w:t>Diário Eletrônico do Tribunal de Contas do Estado do Paraná</w:t>
      </w:r>
      <w:r w:rsidR="00316BB2" w:rsidRPr="000B7016">
        <w:rPr>
          <w:rStyle w:val="Hyperlink"/>
          <w:rFonts w:ascii="Arial" w:hAnsi="Arial" w:cs="Arial"/>
        </w:rPr>
        <w:t>, Curitiba, PR, n. 2675, 6 dez. 2021, p. 135</w:t>
      </w:r>
      <w:r w:rsidR="00316BB2" w:rsidRPr="000B7016">
        <w:rPr>
          <w:rStyle w:val="Forte"/>
          <w:rFonts w:ascii="Arial" w:hAnsi="Arial" w:cs="Arial"/>
        </w:rPr>
        <w:fldChar w:fldCharType="end"/>
      </w:r>
      <w:r w:rsidR="00316BB2" w:rsidRPr="000B7016">
        <w:rPr>
          <w:rFonts w:ascii="Arial" w:hAnsi="Arial" w:cs="Arial"/>
        </w:rPr>
        <w:t>.</w:t>
      </w:r>
    </w:p>
    <w:p w14:paraId="18255943" w14:textId="77777777" w:rsidR="000B7016" w:rsidRPr="000B7016" w:rsidRDefault="000B7016" w:rsidP="000B7016">
      <w:pPr>
        <w:pStyle w:val="Textodenotaderodap"/>
        <w:numPr>
          <w:ilvl w:val="0"/>
          <w:numId w:val="3"/>
        </w:numPr>
        <w:ind w:left="426" w:hanging="284"/>
        <w:jc w:val="both"/>
        <w:rPr>
          <w:rFonts w:ascii="Arial" w:hAnsi="Arial" w:cs="Arial"/>
        </w:rPr>
      </w:pPr>
      <w:r w:rsidRPr="000B7016">
        <w:rPr>
          <w:rFonts w:ascii="Arial" w:hAnsi="Arial" w:cs="Arial"/>
        </w:rPr>
        <w:t xml:space="preserve">Origem: Processo n. </w:t>
      </w:r>
      <w:r w:rsidRPr="000B7016">
        <w:rPr>
          <w:rFonts w:ascii="Arial" w:hAnsi="Arial" w:cs="Arial"/>
          <w:color w:val="000000"/>
        </w:rPr>
        <w:t>45076-6/2021</w:t>
      </w:r>
      <w:r w:rsidRPr="000B7016">
        <w:rPr>
          <w:rFonts w:ascii="Arial" w:hAnsi="Arial" w:cs="Arial"/>
        </w:rPr>
        <w:t xml:space="preserve">– </w:t>
      </w:r>
      <w:hyperlink r:id="rId1" w:history="1">
        <w:r w:rsidRPr="000B7016">
          <w:rPr>
            <w:rStyle w:val="Hyperlink"/>
            <w:rFonts w:ascii="Arial" w:hAnsi="Arial" w:cs="Arial"/>
          </w:rPr>
          <w:t>Acórdão n.</w:t>
        </w:r>
        <w:r w:rsidRPr="000B7016">
          <w:rPr>
            <w:rStyle w:val="Hyperlink"/>
            <w:rFonts w:ascii="Arial" w:eastAsia="Times New Roman" w:hAnsi="Arial" w:cs="Arial"/>
          </w:rPr>
          <w:t xml:space="preserve"> 2885/2021 </w:t>
        </w:r>
        <w:r w:rsidRPr="000B7016">
          <w:rPr>
            <w:rStyle w:val="Hyperlink"/>
            <w:rFonts w:ascii="Arial" w:hAnsi="Arial" w:cs="Arial"/>
          </w:rPr>
          <w:t>- Tribunal Pleno</w:t>
        </w:r>
      </w:hyperlink>
      <w:r w:rsidRPr="000B7016">
        <w:rPr>
          <w:rFonts w:ascii="Arial" w:hAnsi="Arial" w:cs="Arial"/>
        </w:rPr>
        <w:t>.</w:t>
      </w:r>
    </w:p>
    <w:p w14:paraId="6BDE2DCA" w14:textId="77777777" w:rsidR="000B7016" w:rsidRPr="000B7016" w:rsidRDefault="000B7016" w:rsidP="000B7016">
      <w:pPr>
        <w:pStyle w:val="Textodenotaderodap"/>
        <w:numPr>
          <w:ilvl w:val="0"/>
          <w:numId w:val="3"/>
        </w:numPr>
        <w:ind w:left="426" w:hanging="284"/>
        <w:jc w:val="both"/>
        <w:rPr>
          <w:rStyle w:val="Hyperlink"/>
          <w:rFonts w:ascii="Arial" w:hAnsi="Arial" w:cs="Arial"/>
        </w:rPr>
      </w:pPr>
      <w:r w:rsidRPr="000B7016">
        <w:rPr>
          <w:rFonts w:ascii="Arial" w:hAnsi="Arial" w:cs="Arial"/>
          <w:b/>
          <w:bCs/>
        </w:rPr>
        <w:t>Altera</w:t>
      </w:r>
      <w:r w:rsidRPr="000B7016">
        <w:rPr>
          <w:rFonts w:ascii="Arial" w:hAnsi="Arial" w:cs="Arial"/>
        </w:rPr>
        <w:t xml:space="preserve">: </w:t>
      </w:r>
      <w:hyperlink r:id="rId2" w:history="1">
        <w:r w:rsidRPr="000B7016">
          <w:rPr>
            <w:rStyle w:val="Hyperlink"/>
            <w:rFonts w:ascii="Arial" w:hAnsi="Arial" w:cs="Arial"/>
          </w:rPr>
          <w:t>Resolução n. 1, de 24 de janeiro de 2006 - Regimento Interno</w:t>
        </w:r>
      </w:hyperlink>
      <w:r w:rsidRPr="000B7016">
        <w:rPr>
          <w:rStyle w:val="Hyperlink"/>
          <w:rFonts w:ascii="Arial" w:hAnsi="Arial" w:cs="Arial"/>
        </w:rPr>
        <w:t xml:space="preserve"> (e alterações posteriores).</w:t>
      </w:r>
    </w:p>
    <w:p w14:paraId="55197194" w14:textId="458F7F0A" w:rsidR="00F63D16" w:rsidRDefault="000B7016" w:rsidP="000B7016">
      <w:pPr>
        <w:pStyle w:val="Textodenotaderodap"/>
        <w:numPr>
          <w:ilvl w:val="0"/>
          <w:numId w:val="3"/>
        </w:numPr>
        <w:ind w:left="426" w:hanging="284"/>
      </w:pPr>
      <w:r w:rsidRPr="000B7016">
        <w:rPr>
          <w:rStyle w:val="Forte"/>
          <w:rFonts w:ascii="Arial" w:hAnsi="Arial" w:cs="Arial"/>
        </w:rPr>
        <w:t xml:space="preserve">Ver </w:t>
      </w:r>
      <w:hyperlink r:id="rId3" w:history="1">
        <w:r w:rsidRPr="000B7016">
          <w:rPr>
            <w:rStyle w:val="Hyperlink"/>
            <w:rFonts w:ascii="Arial" w:hAnsi="Arial" w:cs="Arial"/>
          </w:rPr>
          <w:t>alterações posteriores</w:t>
        </w:r>
      </w:hyperlink>
      <w:r w:rsidRPr="000B7016">
        <w:rPr>
          <w:rFonts w:ascii="Arial" w:hAnsi="Arial" w:cs="Arial"/>
          <w:b/>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94C6" w14:textId="2D736644" w:rsidR="00423F9C" w:rsidRDefault="00E12E72" w:rsidP="00423F9C">
    <w:pPr>
      <w:pStyle w:val="Cabealho"/>
      <w:spacing w:before="240" w:after="0" w:line="240" w:lineRule="auto"/>
      <w:ind w:left="1134"/>
      <w:jc w:val="center"/>
      <w:rPr>
        <w:rFonts w:ascii="Arial" w:hAnsi="Arial" w:cs="Arial"/>
        <w:b/>
        <w:sz w:val="28"/>
        <w:szCs w:val="28"/>
      </w:rPr>
    </w:pPr>
    <w:r>
      <w:rPr>
        <w:noProof/>
      </w:rPr>
      <w:drawing>
        <wp:anchor distT="0" distB="0" distL="114300" distR="114300" simplePos="0" relativeHeight="251659264" behindDoc="0" locked="0" layoutInCell="1" allowOverlap="1" wp14:anchorId="0A163DC6" wp14:editId="57FA03DF">
          <wp:simplePos x="0" y="0"/>
          <wp:positionH relativeFrom="column">
            <wp:posOffset>35560</wp:posOffset>
          </wp:positionH>
          <wp:positionV relativeFrom="paragraph">
            <wp:posOffset>-77470</wp:posOffset>
          </wp:positionV>
          <wp:extent cx="605790" cy="712470"/>
          <wp:effectExtent l="0" t="0" r="3810" b="0"/>
          <wp:wrapSquare wrapText="bothSides"/>
          <wp:docPr id="1" name="Imagem 1" descr="Descrição: 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BB23D4" w:rsidRPr="00C404BE">
      <w:rPr>
        <w:rFonts w:ascii="Arial" w:hAnsi="Arial" w:cs="Arial"/>
        <w:b/>
        <w:sz w:val="28"/>
        <w:szCs w:val="28"/>
      </w:rPr>
      <w:t>TRIBUNAL DE CONTAS DO ESTADO DO PARANÁ</w:t>
    </w:r>
  </w:p>
  <w:p w14:paraId="1EF4287E" w14:textId="77777777" w:rsidR="00423F9C" w:rsidRPr="00423F9C" w:rsidRDefault="0068044D" w:rsidP="00423F9C">
    <w:pPr>
      <w:keepLines/>
      <w:spacing w:before="120" w:after="240" w:line="240" w:lineRule="auto"/>
      <w:jc w:val="center"/>
      <w:rPr>
        <w:rFonts w:ascii="Arial" w:hAnsi="Arial" w:cs="Arial"/>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48BB"/>
    <w:multiLevelType w:val="hybridMultilevel"/>
    <w:tmpl w:val="3BE29BFA"/>
    <w:lvl w:ilvl="0" w:tplc="2BB40A78">
      <w:start w:val="1"/>
      <w:numFmt w:val="lowerLetter"/>
      <w:lvlText w:val="%1)"/>
      <w:lvlJc w:val="left"/>
      <w:pPr>
        <w:ind w:left="720" w:hanging="360"/>
      </w:pPr>
      <w:rPr>
        <w:color w:val="000000" w:themeColor="text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EE4155"/>
    <w:multiLevelType w:val="hybridMultilevel"/>
    <w:tmpl w:val="18E8E9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C4760B"/>
    <w:multiLevelType w:val="hybridMultilevel"/>
    <w:tmpl w:val="66B8288C"/>
    <w:lvl w:ilvl="0" w:tplc="118CA8AC">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23755212">
    <w:abstractNumId w:val="1"/>
  </w:num>
  <w:num w:numId="2" w16cid:durableId="1775590606">
    <w:abstractNumId w:val="0"/>
  </w:num>
  <w:num w:numId="3" w16cid:durableId="1584099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72"/>
    <w:rsid w:val="000B7016"/>
    <w:rsid w:val="00316BB2"/>
    <w:rsid w:val="003B6DD8"/>
    <w:rsid w:val="00620093"/>
    <w:rsid w:val="0068044D"/>
    <w:rsid w:val="006E55CB"/>
    <w:rsid w:val="00BB23D4"/>
    <w:rsid w:val="00E12E72"/>
    <w:rsid w:val="00F63D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5A5B7"/>
  <w15:chartTrackingRefBased/>
  <w15:docId w15:val="{808976F2-BAF8-420B-BC57-E6E774F6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E72"/>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12E72"/>
    <w:pPr>
      <w:tabs>
        <w:tab w:val="center" w:pos="4252"/>
        <w:tab w:val="right" w:pos="8504"/>
      </w:tabs>
    </w:pPr>
  </w:style>
  <w:style w:type="character" w:customStyle="1" w:styleId="CabealhoChar">
    <w:name w:val="Cabeçalho Char"/>
    <w:basedOn w:val="Fontepargpadro"/>
    <w:link w:val="Cabealho"/>
    <w:rsid w:val="00E12E72"/>
    <w:rPr>
      <w:rFonts w:ascii="Calibri" w:eastAsia="Calibri" w:hAnsi="Calibri" w:cs="Times New Roman"/>
    </w:rPr>
  </w:style>
  <w:style w:type="paragraph" w:styleId="Rodap">
    <w:name w:val="footer"/>
    <w:basedOn w:val="Normal"/>
    <w:link w:val="RodapChar"/>
    <w:uiPriority w:val="99"/>
    <w:unhideWhenUsed/>
    <w:rsid w:val="00E12E72"/>
    <w:pPr>
      <w:tabs>
        <w:tab w:val="center" w:pos="4252"/>
        <w:tab w:val="right" w:pos="8504"/>
      </w:tabs>
    </w:pPr>
  </w:style>
  <w:style w:type="character" w:customStyle="1" w:styleId="RodapChar">
    <w:name w:val="Rodapé Char"/>
    <w:basedOn w:val="Fontepargpadro"/>
    <w:link w:val="Rodap"/>
    <w:uiPriority w:val="99"/>
    <w:rsid w:val="00E12E72"/>
    <w:rPr>
      <w:rFonts w:ascii="Calibri" w:eastAsia="Calibri" w:hAnsi="Calibri" w:cs="Times New Roman"/>
    </w:rPr>
  </w:style>
  <w:style w:type="paragraph" w:styleId="Textodenotaderodap">
    <w:name w:val="footnote text"/>
    <w:basedOn w:val="Normal"/>
    <w:link w:val="TextodenotaderodapChar"/>
    <w:unhideWhenUsed/>
    <w:rsid w:val="00F63D16"/>
    <w:pPr>
      <w:spacing w:after="0" w:line="240" w:lineRule="auto"/>
    </w:pPr>
    <w:rPr>
      <w:sz w:val="20"/>
      <w:szCs w:val="20"/>
    </w:rPr>
  </w:style>
  <w:style w:type="character" w:customStyle="1" w:styleId="TextodenotaderodapChar">
    <w:name w:val="Texto de nota de rodapé Char"/>
    <w:basedOn w:val="Fontepargpadro"/>
    <w:link w:val="Textodenotaderodap"/>
    <w:rsid w:val="00F63D16"/>
    <w:rPr>
      <w:rFonts w:ascii="Calibri" w:eastAsia="Calibri" w:hAnsi="Calibri" w:cs="Times New Roman"/>
      <w:sz w:val="20"/>
      <w:szCs w:val="20"/>
    </w:rPr>
  </w:style>
  <w:style w:type="character" w:styleId="Refdenotaderodap">
    <w:name w:val="footnote reference"/>
    <w:basedOn w:val="Fontepargpadro"/>
    <w:uiPriority w:val="99"/>
    <w:semiHidden/>
    <w:unhideWhenUsed/>
    <w:rsid w:val="00F63D16"/>
    <w:rPr>
      <w:vertAlign w:val="superscript"/>
    </w:rPr>
  </w:style>
  <w:style w:type="character" w:styleId="Hyperlink">
    <w:name w:val="Hyperlink"/>
    <w:uiPriority w:val="99"/>
    <w:rsid w:val="00F63D16"/>
    <w:rPr>
      <w:color w:val="0000FF"/>
      <w:u w:val="single"/>
    </w:rPr>
  </w:style>
  <w:style w:type="character" w:styleId="Forte">
    <w:name w:val="Strong"/>
    <w:uiPriority w:val="22"/>
    <w:qFormat/>
    <w:rsid w:val="00316BB2"/>
    <w:rPr>
      <w:b/>
      <w:bCs/>
    </w:rPr>
  </w:style>
  <w:style w:type="character" w:styleId="MenoPendente">
    <w:name w:val="Unresolved Mention"/>
    <w:basedOn w:val="Fontepargpadro"/>
    <w:uiPriority w:val="99"/>
    <w:semiHidden/>
    <w:unhideWhenUsed/>
    <w:rsid w:val="00680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1/11/pdf/0036154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resolucao-n-89-de-1%C2%BA-de-dezembro-de-2021/339047/area/249" TargetMode="External"/><Relationship Id="rId2" Type="http://schemas.openxmlformats.org/officeDocument/2006/relationships/hyperlink" Target="https://www1.tce.pr.gov.br/conteudo/resolucao-n-1-de-24-de-janeiro-de-2006-regimento-interno/1403/area/10" TargetMode="External"/><Relationship Id="rId1" Type="http://schemas.openxmlformats.org/officeDocument/2006/relationships/hyperlink" Target="https://www1.tce.pr.gov.br/multimidia/2021/11/pdf/0036154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B4495-90F6-44BF-A199-A7F15ED91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905</Words>
  <Characters>4893</Characters>
  <Application>Microsoft Office Word</Application>
  <DocSecurity>0</DocSecurity>
  <Lines>40</Lines>
  <Paragraphs>11</Paragraphs>
  <ScaleCrop>false</ScaleCrop>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 Fonseca</dc:creator>
  <cp:keywords/>
  <dc:description/>
  <cp:lastModifiedBy>Yarusya Fonseca</cp:lastModifiedBy>
  <cp:revision>5</cp:revision>
  <dcterms:created xsi:type="dcterms:W3CDTF">2022-07-05T17:26:00Z</dcterms:created>
  <dcterms:modified xsi:type="dcterms:W3CDTF">2022-07-15T21:27:00Z</dcterms:modified>
</cp:coreProperties>
</file>