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7B7D" w14:textId="77777777" w:rsidR="004355DA" w:rsidRDefault="004355DA" w:rsidP="004355DA">
      <w:pPr>
        <w:spacing w:before="24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66F8C">
        <w:rPr>
          <w:rFonts w:ascii="Arial" w:hAnsi="Arial" w:cs="Arial"/>
          <w:b/>
          <w:sz w:val="28"/>
          <w:szCs w:val="28"/>
        </w:rPr>
        <w:t>INSTRUÇÃO NORMATIVA Nº 8/2006</w:t>
      </w:r>
      <w:r w:rsidR="00871685">
        <w:rPr>
          <w:rFonts w:ascii="Arial" w:hAnsi="Arial" w:cs="Arial"/>
          <w:b/>
          <w:sz w:val="28"/>
          <w:szCs w:val="28"/>
        </w:rPr>
        <w:t>*</w:t>
      </w:r>
      <w:r w:rsidRPr="00F66F8C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0AA098A8" w14:textId="6C54EA9A" w:rsidR="004355DA" w:rsidRDefault="004355DA" w:rsidP="00625A3B">
      <w:pPr>
        <w:pStyle w:val="Corpodetexto"/>
        <w:widowControl w:val="0"/>
        <w:suppressAutoHyphens/>
        <w:spacing w:before="360" w:after="360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0537C7">
        <w:rPr>
          <w:rFonts w:ascii="Arial" w:hAnsi="Arial" w:cs="Arial"/>
          <w:i/>
          <w:sz w:val="22"/>
          <w:szCs w:val="22"/>
        </w:rPr>
        <w:t xml:space="preserve">Regulamenta o </w:t>
      </w:r>
      <w:hyperlink r:id="rId8" w:history="1">
        <w:r w:rsidRPr="000537C7">
          <w:rPr>
            <w:rStyle w:val="Hyperlink"/>
            <w:rFonts w:ascii="Arial" w:hAnsi="Arial" w:cs="Arial"/>
            <w:i/>
            <w:sz w:val="22"/>
            <w:szCs w:val="22"/>
          </w:rPr>
          <w:t>Provimento nº 17/89</w:t>
        </w:r>
      </w:hyperlink>
      <w:r w:rsidRPr="000537C7">
        <w:rPr>
          <w:rFonts w:ascii="Arial" w:hAnsi="Arial" w:cs="Arial"/>
          <w:i/>
          <w:sz w:val="22"/>
          <w:szCs w:val="22"/>
        </w:rPr>
        <w:t xml:space="preserve"> [1] e </w:t>
      </w:r>
      <w:hyperlink r:id="rId9" w:history="1">
        <w:r w:rsidRPr="000537C7">
          <w:rPr>
            <w:rStyle w:val="Hyperlink"/>
            <w:rFonts w:ascii="Arial" w:hAnsi="Arial" w:cs="Arial"/>
            <w:i/>
            <w:sz w:val="22"/>
            <w:szCs w:val="22"/>
          </w:rPr>
          <w:t>Provimento nº 18/89</w:t>
        </w:r>
      </w:hyperlink>
      <w:r w:rsidR="00942E02" w:rsidRPr="000537C7">
        <w:rPr>
          <w:rStyle w:val="Hyperlink"/>
          <w:rFonts w:ascii="Arial" w:hAnsi="Arial" w:cs="Arial"/>
          <w:i/>
          <w:sz w:val="22"/>
          <w:szCs w:val="22"/>
        </w:rPr>
        <w:t xml:space="preserve"> </w:t>
      </w:r>
      <w:r w:rsidRPr="000537C7">
        <w:rPr>
          <w:rFonts w:ascii="Arial" w:hAnsi="Arial" w:cs="Arial"/>
          <w:i/>
          <w:sz w:val="22"/>
          <w:szCs w:val="22"/>
        </w:rPr>
        <w:t xml:space="preserve">[2] quanto ao encaminhamento da documentação para apreciação, registro e verificação da legalidade de todos os atos de admissão de pessoal, a qualquer título, excetuadas as nomeações para cargo de provimento em comissão, e revoga a </w:t>
      </w:r>
      <w:hyperlink r:id="rId10" w:history="1">
        <w:r w:rsidRPr="000537C7">
          <w:rPr>
            <w:rStyle w:val="Hyperlink"/>
            <w:rFonts w:ascii="Arial" w:hAnsi="Arial" w:cs="Arial"/>
            <w:i/>
            <w:sz w:val="22"/>
            <w:szCs w:val="22"/>
          </w:rPr>
          <w:t>Instrução Técnica nº. 43 de 20 de junho de 2005</w:t>
        </w:r>
      </w:hyperlink>
      <w:r w:rsidRPr="000537C7">
        <w:rPr>
          <w:rFonts w:ascii="Arial" w:hAnsi="Arial" w:cs="Arial"/>
          <w:i/>
          <w:sz w:val="22"/>
          <w:szCs w:val="22"/>
        </w:rPr>
        <w:t>.</w:t>
      </w:r>
    </w:p>
    <w:p w14:paraId="4E0D2E03" w14:textId="06AFC19D" w:rsidR="004355DA" w:rsidRPr="00F76622" w:rsidRDefault="004355DA" w:rsidP="00415E4C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537C7">
        <w:rPr>
          <w:rFonts w:ascii="Arial" w:hAnsi="Arial" w:cs="Arial"/>
          <w:bCs/>
          <w:sz w:val="24"/>
          <w:szCs w:val="24"/>
        </w:rPr>
        <w:t>O</w:t>
      </w:r>
      <w:r w:rsidRPr="00F76622">
        <w:rPr>
          <w:rFonts w:ascii="Arial" w:hAnsi="Arial" w:cs="Arial"/>
          <w:b/>
          <w:sz w:val="24"/>
          <w:szCs w:val="24"/>
        </w:rPr>
        <w:t xml:space="preserve"> TRIBUNAL DE CONTAS DO ESTADO DO PARANÁ</w:t>
      </w:r>
      <w:r w:rsidRPr="00F76622">
        <w:rPr>
          <w:rFonts w:ascii="Arial" w:hAnsi="Arial" w:cs="Arial"/>
          <w:sz w:val="24"/>
          <w:szCs w:val="24"/>
        </w:rPr>
        <w:t xml:space="preserve">, no uso de suas atribuições previstas no art. 75, inciso III da </w:t>
      </w:r>
      <w:r w:rsidRPr="005E4F85">
        <w:rPr>
          <w:rFonts w:ascii="Arial" w:hAnsi="Arial" w:cs="Arial"/>
          <w:sz w:val="24"/>
          <w:szCs w:val="24"/>
        </w:rPr>
        <w:t>Constituição Estadual</w:t>
      </w:r>
      <w:r w:rsidRPr="00F76622">
        <w:rPr>
          <w:rFonts w:ascii="Arial" w:hAnsi="Arial" w:cs="Arial"/>
          <w:sz w:val="24"/>
          <w:szCs w:val="24"/>
        </w:rPr>
        <w:t xml:space="preserve">, no art. 2º da </w:t>
      </w:r>
      <w:r w:rsidRPr="005E4F85">
        <w:rPr>
          <w:rFonts w:ascii="Arial" w:hAnsi="Arial" w:cs="Arial"/>
          <w:sz w:val="24"/>
          <w:szCs w:val="24"/>
        </w:rPr>
        <w:t>Lei Complementar nº 113/2005</w:t>
      </w:r>
      <w:r w:rsidRPr="00F76622">
        <w:rPr>
          <w:rFonts w:ascii="Arial" w:hAnsi="Arial" w:cs="Arial"/>
          <w:sz w:val="24"/>
          <w:szCs w:val="24"/>
        </w:rPr>
        <w:t xml:space="preserve">, e arts. 193 e 298, parágrafo único do </w:t>
      </w:r>
      <w:r w:rsidRPr="005E4F85">
        <w:rPr>
          <w:rFonts w:ascii="Arial" w:hAnsi="Arial" w:cs="Arial"/>
          <w:sz w:val="24"/>
          <w:szCs w:val="24"/>
        </w:rPr>
        <w:t>Regimento Interno</w:t>
      </w:r>
      <w:r w:rsidRPr="00F76622">
        <w:rPr>
          <w:rFonts w:ascii="Arial" w:hAnsi="Arial" w:cs="Arial"/>
          <w:sz w:val="24"/>
          <w:szCs w:val="24"/>
        </w:rPr>
        <w:t>, resolve:</w:t>
      </w:r>
    </w:p>
    <w:p w14:paraId="6AAAFFC8" w14:textId="77777777" w:rsidR="004355DA" w:rsidRPr="00F76622" w:rsidRDefault="004355DA" w:rsidP="00415E4C">
      <w:pPr>
        <w:pStyle w:val="Corpodetexto"/>
        <w:widowControl w:val="0"/>
        <w:suppressAutoHyphens/>
        <w:spacing w:before="120"/>
        <w:ind w:firstLine="1134"/>
        <w:jc w:val="both"/>
        <w:rPr>
          <w:rFonts w:ascii="Arial" w:hAnsi="Arial" w:cs="Arial"/>
          <w:sz w:val="24"/>
        </w:rPr>
      </w:pPr>
      <w:r w:rsidRPr="00F76622">
        <w:rPr>
          <w:rFonts w:ascii="Arial" w:hAnsi="Arial" w:cs="Arial"/>
          <w:b/>
          <w:sz w:val="24"/>
        </w:rPr>
        <w:t xml:space="preserve">Art. 1º </w:t>
      </w:r>
      <w:r w:rsidRPr="00F76622">
        <w:rPr>
          <w:rFonts w:ascii="Arial" w:hAnsi="Arial" w:cs="Arial"/>
          <w:sz w:val="24"/>
        </w:rPr>
        <w:t>As normas desta Instrução aplicam-se aos dirigentes dos órgãos da Administração Direta e Indireta Estadual, incluídas as Secretarias de Estado, Autarquias, Órgãos de Regime Especial, Fundos Especiais e as Fundações e Sociedades instituídas e mantidas pelo Poder Público Estadual, as Empresas Públicas, as Sociedades de Economia Mista, os Serviç</w:t>
      </w:r>
      <w:r>
        <w:rPr>
          <w:rFonts w:ascii="Arial" w:hAnsi="Arial" w:cs="Arial"/>
          <w:sz w:val="24"/>
        </w:rPr>
        <w:t>os Sociais Autônomos, a Assemble</w:t>
      </w:r>
      <w:r w:rsidRPr="00F76622">
        <w:rPr>
          <w:rFonts w:ascii="Arial" w:hAnsi="Arial" w:cs="Arial"/>
          <w:sz w:val="24"/>
        </w:rPr>
        <w:t>ia Legislativa, o Tribunal de Contas, o Tribunal de Justiça e o Ministério Público.</w:t>
      </w:r>
    </w:p>
    <w:p w14:paraId="3D237B91" w14:textId="77777777" w:rsidR="004355DA" w:rsidRPr="00F76622" w:rsidRDefault="004355DA" w:rsidP="00415E4C">
      <w:pPr>
        <w:pStyle w:val="Corpodetexto"/>
        <w:widowControl w:val="0"/>
        <w:suppressAutoHyphens/>
        <w:spacing w:before="120"/>
        <w:ind w:firstLine="1134"/>
        <w:jc w:val="both"/>
        <w:rPr>
          <w:rFonts w:ascii="Arial" w:hAnsi="Arial" w:cs="Arial"/>
          <w:sz w:val="24"/>
        </w:rPr>
      </w:pPr>
      <w:r w:rsidRPr="00F76622">
        <w:rPr>
          <w:rFonts w:ascii="Arial" w:hAnsi="Arial" w:cs="Arial"/>
          <w:b/>
          <w:sz w:val="24"/>
        </w:rPr>
        <w:t>Art. 2º</w:t>
      </w:r>
      <w:r w:rsidRPr="00F76622">
        <w:rPr>
          <w:rFonts w:ascii="Arial" w:hAnsi="Arial" w:cs="Arial"/>
          <w:sz w:val="24"/>
        </w:rPr>
        <w:t xml:space="preserve"> O processo de admissão de pessoal deverá ser encaminhado a este Tribunal, através de ofício, contendo somente um edital de abertura do concurso/teste seletivo por processo, no prazo de 30 (trinta) dias, a contar da data de admissão e/ou contratação.</w:t>
      </w:r>
    </w:p>
    <w:p w14:paraId="15483056" w14:textId="77777777" w:rsidR="004355DA" w:rsidRPr="00F76622" w:rsidRDefault="004355DA" w:rsidP="00415E4C">
      <w:pPr>
        <w:pStyle w:val="Corpodetexto"/>
        <w:widowControl w:val="0"/>
        <w:suppressAutoHyphens/>
        <w:spacing w:before="120"/>
        <w:ind w:firstLine="1134"/>
        <w:jc w:val="both"/>
        <w:rPr>
          <w:rFonts w:ascii="Arial" w:hAnsi="Arial" w:cs="Arial"/>
          <w:sz w:val="24"/>
        </w:rPr>
      </w:pPr>
      <w:r w:rsidRPr="00F76622">
        <w:rPr>
          <w:rFonts w:ascii="Arial" w:hAnsi="Arial" w:cs="Arial"/>
          <w:b/>
          <w:sz w:val="24"/>
        </w:rPr>
        <w:t>Art. 3º</w:t>
      </w:r>
      <w:r w:rsidRPr="00F76622">
        <w:rPr>
          <w:rFonts w:ascii="Arial" w:hAnsi="Arial" w:cs="Arial"/>
          <w:sz w:val="24"/>
        </w:rPr>
        <w:t xml:space="preserve"> O processo de admissão de pessoal na modalidade de concurso público por prazo indeterminado (estatutário) conterá:</w:t>
      </w:r>
    </w:p>
    <w:p w14:paraId="0D7311BC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Cópia da lei de criação do Quadro de Pessoal;</w:t>
      </w:r>
    </w:p>
    <w:p w14:paraId="127C1F82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Justificativa para abertura do concurso público e autorização do Chefe do Poder competente;</w:t>
      </w:r>
    </w:p>
    <w:p w14:paraId="3ED17945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lastRenderedPageBreak/>
        <w:t>Demonstrativo do número de cargos e vagas existentes. - Edital de convocação e realização do concurso, acompanhado da publicação;</w:t>
      </w:r>
    </w:p>
    <w:p w14:paraId="05262B01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Ato designando a Comissão Examinadora/Julgadora, acompanhado da publicação;</w:t>
      </w:r>
    </w:p>
    <w:p w14:paraId="244C7E29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701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Edital de homologação das inscrições (havendo alguma impugnação da inscrição, demonstrá-la), acompanhado da publicação;</w:t>
      </w:r>
    </w:p>
    <w:p w14:paraId="2590B899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701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Edital do resultado do concurso acompanhado da publicação;</w:t>
      </w:r>
    </w:p>
    <w:p w14:paraId="3C0686EC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701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Homologação do resultado do concurso (havendo empate, demonstrar os critérios de desempate utilizados, constantes no edital do concurso), acompanhado da publicação;</w:t>
      </w:r>
    </w:p>
    <w:p w14:paraId="6172CE32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701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Edital de convocação dos candidatos classificados e a serem admitidos, acompanhados da publicação;</w:t>
      </w:r>
    </w:p>
    <w:p w14:paraId="0C5D326D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701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Ato de nomeação, respeitando-se a ordem de classificação, acompanhado da publicação;</w:t>
      </w:r>
    </w:p>
    <w:p w14:paraId="6E644667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701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Termo de posse e/ou exercício;</w:t>
      </w:r>
    </w:p>
    <w:p w14:paraId="17EDD036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701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Termo de desistência ou outro fato que justifique a nomeação fora da ordem de classificação;</w:t>
      </w:r>
    </w:p>
    <w:p w14:paraId="19596596" w14:textId="58D1293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701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Declaração do servidor de que não ocupa outro cargo ou emprego público em qualquer das esferas de governo, excetuadas as hipóteses previstas no art. 37, XVI, da </w:t>
      </w:r>
      <w:r w:rsidRPr="005E4F85">
        <w:rPr>
          <w:rFonts w:ascii="Arial" w:hAnsi="Arial" w:cs="Arial"/>
          <w:sz w:val="24"/>
          <w:szCs w:val="24"/>
        </w:rPr>
        <w:t>Constituição Federal</w:t>
      </w:r>
      <w:r w:rsidRPr="00F76622">
        <w:rPr>
          <w:rFonts w:ascii="Arial" w:hAnsi="Arial" w:cs="Arial"/>
          <w:sz w:val="24"/>
          <w:szCs w:val="24"/>
        </w:rPr>
        <w:t>, nem percebe outro benefício proveniente de regime próprio de previdência social ou do regime geral de previdência social relativo a emprego público;</w:t>
      </w:r>
    </w:p>
    <w:p w14:paraId="159AE74A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Cópia da carteira de identidade - RG e do Cadastro de Pessoa Física do Ministério da Fazenda – CPF;</w:t>
      </w:r>
    </w:p>
    <w:p w14:paraId="72A7B368" w14:textId="77777777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Prazo de validade do Concurso. Ocorrendo a prorrogação </w:t>
      </w:r>
      <w:proofErr w:type="gramStart"/>
      <w:r w:rsidRPr="00F76622">
        <w:rPr>
          <w:rFonts w:ascii="Arial" w:hAnsi="Arial" w:cs="Arial"/>
          <w:sz w:val="24"/>
          <w:szCs w:val="24"/>
        </w:rPr>
        <w:t>do mesmo</w:t>
      </w:r>
      <w:proofErr w:type="gramEnd"/>
      <w:r w:rsidRPr="00F76622">
        <w:rPr>
          <w:rFonts w:ascii="Arial" w:hAnsi="Arial" w:cs="Arial"/>
          <w:sz w:val="24"/>
          <w:szCs w:val="24"/>
        </w:rPr>
        <w:t>, declarado pela autoridade competente, juntar ao processo o ato respectivo e sua decorrente publicação;</w:t>
      </w:r>
    </w:p>
    <w:p w14:paraId="269A9F75" w14:textId="56558111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Declaração do Chefe do Poder ou Órgão competente, atestando que a admissão não excede o limite de gastos com pessoal previsto no art. 20 da </w:t>
      </w:r>
      <w:r w:rsidRPr="005E4F85">
        <w:rPr>
          <w:rFonts w:ascii="Arial" w:hAnsi="Arial" w:cs="Arial"/>
          <w:sz w:val="24"/>
          <w:szCs w:val="24"/>
        </w:rPr>
        <w:t>Lei Complementar nº 101/00</w:t>
      </w:r>
      <w:r w:rsidRPr="00F76622">
        <w:rPr>
          <w:rFonts w:ascii="Arial" w:hAnsi="Arial" w:cs="Arial"/>
          <w:sz w:val="24"/>
          <w:szCs w:val="24"/>
        </w:rPr>
        <w:t>;</w:t>
      </w:r>
    </w:p>
    <w:p w14:paraId="14E41CF4" w14:textId="61793E81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Demonstrativo do impacto orçamentário-financeiro no exercício em que ocorreu o concurso público e nos dois subseq</w:t>
      </w:r>
      <w:r>
        <w:rPr>
          <w:rFonts w:ascii="Arial" w:hAnsi="Arial" w:cs="Arial"/>
          <w:sz w:val="24"/>
          <w:szCs w:val="24"/>
        </w:rPr>
        <w:t>u</w:t>
      </w:r>
      <w:r w:rsidRPr="00F76622">
        <w:rPr>
          <w:rFonts w:ascii="Arial" w:hAnsi="Arial" w:cs="Arial"/>
          <w:sz w:val="24"/>
          <w:szCs w:val="24"/>
        </w:rPr>
        <w:t xml:space="preserve">entes, nos termos do art. 16, I da </w:t>
      </w:r>
      <w:r w:rsidRPr="005E4F85">
        <w:rPr>
          <w:rFonts w:ascii="Arial" w:hAnsi="Arial" w:cs="Arial"/>
          <w:sz w:val="24"/>
          <w:szCs w:val="24"/>
        </w:rPr>
        <w:t>Lei Complementar nº 101/00</w:t>
      </w:r>
      <w:r w:rsidRPr="00F76622">
        <w:rPr>
          <w:rFonts w:ascii="Arial" w:hAnsi="Arial" w:cs="Arial"/>
          <w:sz w:val="24"/>
          <w:szCs w:val="24"/>
        </w:rPr>
        <w:t>;</w:t>
      </w:r>
    </w:p>
    <w:p w14:paraId="0E378121" w14:textId="0987705C" w:rsidR="004355DA" w:rsidRPr="00F76622" w:rsidRDefault="004355DA" w:rsidP="00415E4C">
      <w:pPr>
        <w:widowControl w:val="0"/>
        <w:numPr>
          <w:ilvl w:val="0"/>
          <w:numId w:val="9"/>
        </w:numPr>
        <w:tabs>
          <w:tab w:val="clear" w:pos="567"/>
          <w:tab w:val="num" w:pos="0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Declaração do Ordenador de Despesa de que o aumento tem adequação orçamentária e financeira com a Lei Orçamentária Anual e compatibilidade com o Plano Plurianual e com a Lei de Diretrizes Orçamentárias, nos termos do art. 16, II da </w:t>
      </w:r>
      <w:r w:rsidRPr="005E4F85">
        <w:rPr>
          <w:rFonts w:ascii="Arial" w:hAnsi="Arial" w:cs="Arial"/>
          <w:sz w:val="24"/>
          <w:szCs w:val="24"/>
        </w:rPr>
        <w:t>Lei Complementar nº 101/00</w:t>
      </w:r>
      <w:r w:rsidRPr="00F76622">
        <w:rPr>
          <w:rFonts w:ascii="Arial" w:hAnsi="Arial" w:cs="Arial"/>
          <w:sz w:val="24"/>
          <w:szCs w:val="24"/>
        </w:rPr>
        <w:t>.</w:t>
      </w:r>
    </w:p>
    <w:p w14:paraId="02618338" w14:textId="77777777" w:rsidR="004355DA" w:rsidRPr="00F76622" w:rsidRDefault="004355DA" w:rsidP="00415E4C">
      <w:pPr>
        <w:pStyle w:val="Corpodetexto"/>
        <w:widowControl w:val="0"/>
        <w:suppressAutoHyphens/>
        <w:spacing w:before="120"/>
        <w:ind w:firstLine="1134"/>
        <w:jc w:val="both"/>
        <w:rPr>
          <w:rFonts w:ascii="Arial" w:hAnsi="Arial" w:cs="Arial"/>
          <w:sz w:val="24"/>
        </w:rPr>
      </w:pPr>
      <w:r w:rsidRPr="00F76622">
        <w:rPr>
          <w:rFonts w:ascii="Arial" w:hAnsi="Arial" w:cs="Arial"/>
          <w:b/>
          <w:sz w:val="24"/>
        </w:rPr>
        <w:t xml:space="preserve">Art. 4º </w:t>
      </w:r>
      <w:r w:rsidRPr="00F76622">
        <w:rPr>
          <w:rFonts w:ascii="Arial" w:hAnsi="Arial" w:cs="Arial"/>
          <w:sz w:val="24"/>
        </w:rPr>
        <w:t>O processo de admissão de pessoal na modalidade de concurso público por prazo indeterminado (celetista) conterá:</w:t>
      </w:r>
    </w:p>
    <w:p w14:paraId="71F39F9B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Cópia da lei de criação do Quadro de Pessoal;</w:t>
      </w:r>
    </w:p>
    <w:p w14:paraId="2A3EFA38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Justificativa para a abertura do concurso público e autorização </w:t>
      </w:r>
      <w:r w:rsidRPr="00F76622">
        <w:rPr>
          <w:rFonts w:ascii="Arial" w:hAnsi="Arial" w:cs="Arial"/>
          <w:sz w:val="24"/>
          <w:szCs w:val="24"/>
        </w:rPr>
        <w:lastRenderedPageBreak/>
        <w:t>do Chefe do Poder competente;</w:t>
      </w:r>
    </w:p>
    <w:p w14:paraId="4D11F8F4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Demonstrativo do número de cargos e vagas existentes;</w:t>
      </w:r>
    </w:p>
    <w:p w14:paraId="458894D6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Edital de convocação e realização do concurso, acompanhado da publicação;</w:t>
      </w:r>
    </w:p>
    <w:p w14:paraId="23C2BAAC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Ato designando a Comissão Examinadora/Julgadora, acompanhado da publicação;</w:t>
      </w:r>
    </w:p>
    <w:p w14:paraId="008025AA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Edital de homologação das inscrições (havendo alguma impugnação, demonstrá-la), acompanhado da publicação;</w:t>
      </w:r>
    </w:p>
    <w:p w14:paraId="4F31A1AE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Edital do resultado do concurso acompanhado da publicação;</w:t>
      </w:r>
    </w:p>
    <w:p w14:paraId="3E146F85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Homologação do resultado do concurso (havendo empate, demonstrar os critérios de desempate utilizados, constantes no edital do concurso), acompanhado da publicação;</w:t>
      </w:r>
    </w:p>
    <w:p w14:paraId="3107286B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Edital de convocação dos candidatos classificados a serem contratados, acompanhado da publicação;</w:t>
      </w:r>
    </w:p>
    <w:p w14:paraId="7AA6684F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Contrato de trabalho;</w:t>
      </w:r>
    </w:p>
    <w:p w14:paraId="5CFC9DED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Extrato contratual, acompanhado da publicação;</w:t>
      </w:r>
    </w:p>
    <w:p w14:paraId="6243776B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Termo de desistência ou outro fato que justifique a contratação fora da ordem de classificação;</w:t>
      </w:r>
    </w:p>
    <w:p w14:paraId="51493A68" w14:textId="6B994116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701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Declaração do contratado de que não ocupa outro cargo ou emprego público em qualquer das esferas de governo, excetuadas as hipóteses previstas no art. 37, XVI, da </w:t>
      </w:r>
      <w:r w:rsidRPr="005E4F85">
        <w:rPr>
          <w:rFonts w:ascii="Arial" w:hAnsi="Arial" w:cs="Arial"/>
          <w:sz w:val="24"/>
          <w:szCs w:val="24"/>
        </w:rPr>
        <w:t>Constituição Federal</w:t>
      </w:r>
      <w:r w:rsidRPr="00F76622">
        <w:rPr>
          <w:rFonts w:ascii="Arial" w:hAnsi="Arial" w:cs="Arial"/>
          <w:sz w:val="24"/>
          <w:szCs w:val="24"/>
        </w:rPr>
        <w:t>, nem percebe outro benefício proveniente de regime próprio de previdência social ou regime geral de previdência social relativo a emprego público;</w:t>
      </w:r>
    </w:p>
    <w:p w14:paraId="01528F43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Cópia da carteira de identidade - RG e do Cadastro de Pessoa Física do Ministério da Fazenda – CPF;</w:t>
      </w:r>
    </w:p>
    <w:p w14:paraId="574EAAE5" w14:textId="7777777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Prazo de validade do Concurso. Ocorrendo a prorrogação </w:t>
      </w:r>
      <w:proofErr w:type="gramStart"/>
      <w:r w:rsidRPr="00F76622">
        <w:rPr>
          <w:rFonts w:ascii="Arial" w:hAnsi="Arial" w:cs="Arial"/>
          <w:sz w:val="24"/>
          <w:szCs w:val="24"/>
        </w:rPr>
        <w:t>do mesmo</w:t>
      </w:r>
      <w:proofErr w:type="gramEnd"/>
      <w:r w:rsidRPr="00F76622">
        <w:rPr>
          <w:rFonts w:ascii="Arial" w:hAnsi="Arial" w:cs="Arial"/>
          <w:sz w:val="24"/>
          <w:szCs w:val="24"/>
        </w:rPr>
        <w:t>, declarado pela autoridade competente, juntar ao processo o ato respectivo e sua decorrente publicação;</w:t>
      </w:r>
    </w:p>
    <w:p w14:paraId="7FFEFDD0" w14:textId="7803D2A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Declaração do Chefe do Poder ou Órgão competente, atestando que a admissão não excede o limite de gastos com pessoal previsto no art. 20 da </w:t>
      </w:r>
      <w:r w:rsidRPr="005E4F85">
        <w:rPr>
          <w:rFonts w:ascii="Arial" w:hAnsi="Arial" w:cs="Arial"/>
          <w:sz w:val="24"/>
          <w:szCs w:val="24"/>
        </w:rPr>
        <w:t>Lei Complementar nº 101/00</w:t>
      </w:r>
      <w:r w:rsidRPr="00F76622">
        <w:rPr>
          <w:rFonts w:ascii="Arial" w:hAnsi="Arial" w:cs="Arial"/>
          <w:sz w:val="24"/>
          <w:szCs w:val="24"/>
        </w:rPr>
        <w:t>;</w:t>
      </w:r>
    </w:p>
    <w:p w14:paraId="745C0C12" w14:textId="573A14C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Demonstrativo do impacto orçamentário-financeiro no exercício em que ocorreu o concurso público e nos dois subseq</w:t>
      </w:r>
      <w:r>
        <w:rPr>
          <w:rFonts w:ascii="Arial" w:hAnsi="Arial" w:cs="Arial"/>
          <w:sz w:val="24"/>
          <w:szCs w:val="24"/>
        </w:rPr>
        <w:t>u</w:t>
      </w:r>
      <w:r w:rsidRPr="00F76622">
        <w:rPr>
          <w:rFonts w:ascii="Arial" w:hAnsi="Arial" w:cs="Arial"/>
          <w:sz w:val="24"/>
          <w:szCs w:val="24"/>
        </w:rPr>
        <w:t xml:space="preserve">entes, nos termos do art. 16, I da </w:t>
      </w:r>
      <w:r w:rsidRPr="005E4F85">
        <w:rPr>
          <w:rFonts w:ascii="Arial" w:hAnsi="Arial" w:cs="Arial"/>
          <w:sz w:val="24"/>
          <w:szCs w:val="24"/>
        </w:rPr>
        <w:t>Lei Complementar nº 101/00</w:t>
      </w:r>
      <w:r w:rsidRPr="00F76622">
        <w:rPr>
          <w:rFonts w:ascii="Arial" w:hAnsi="Arial" w:cs="Arial"/>
          <w:sz w:val="24"/>
          <w:szCs w:val="24"/>
        </w:rPr>
        <w:t>;</w:t>
      </w:r>
    </w:p>
    <w:p w14:paraId="0A4803F5" w14:textId="177E0547" w:rsidR="004355DA" w:rsidRPr="00F76622" w:rsidRDefault="004355DA" w:rsidP="00415E4C">
      <w:pPr>
        <w:widowControl w:val="0"/>
        <w:numPr>
          <w:ilvl w:val="0"/>
          <w:numId w:val="10"/>
        </w:numPr>
        <w:tabs>
          <w:tab w:val="clear" w:pos="567"/>
          <w:tab w:val="num" w:pos="0"/>
          <w:tab w:val="left" w:pos="1843"/>
          <w:tab w:val="left" w:pos="1985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Declaração do Ordenador de Despesa de que o aumento tem adequação orçamentária e financeira com a Lei Orçamentária Anual e compatibilidade com o Plano Plurianual e com a Lei de Diretrizes Orçamentárias, nos termos do art. 16, II da </w:t>
      </w:r>
      <w:r w:rsidRPr="005E4F85">
        <w:rPr>
          <w:rFonts w:ascii="Arial" w:hAnsi="Arial" w:cs="Arial"/>
          <w:sz w:val="24"/>
          <w:szCs w:val="24"/>
        </w:rPr>
        <w:t>Lei Complementar nº 101/00</w:t>
      </w:r>
      <w:r w:rsidRPr="00F76622">
        <w:rPr>
          <w:rFonts w:ascii="Arial" w:hAnsi="Arial" w:cs="Arial"/>
          <w:sz w:val="24"/>
          <w:szCs w:val="24"/>
        </w:rPr>
        <w:t>.</w:t>
      </w:r>
    </w:p>
    <w:p w14:paraId="07CC7366" w14:textId="77777777" w:rsidR="004355DA" w:rsidRPr="00F76622" w:rsidRDefault="004355DA" w:rsidP="00415E4C">
      <w:pPr>
        <w:pStyle w:val="Corpodetexto"/>
        <w:widowControl w:val="0"/>
        <w:suppressAutoHyphens/>
        <w:spacing w:before="120"/>
        <w:ind w:firstLine="1134"/>
        <w:jc w:val="both"/>
        <w:rPr>
          <w:rFonts w:ascii="Arial" w:hAnsi="Arial" w:cs="Arial"/>
          <w:sz w:val="24"/>
        </w:rPr>
      </w:pPr>
      <w:r w:rsidRPr="00F76622">
        <w:rPr>
          <w:rFonts w:ascii="Arial" w:hAnsi="Arial" w:cs="Arial"/>
          <w:b/>
          <w:sz w:val="24"/>
        </w:rPr>
        <w:t>Art. 5º</w:t>
      </w:r>
      <w:r w:rsidRPr="00F76622">
        <w:rPr>
          <w:rFonts w:ascii="Arial" w:hAnsi="Arial" w:cs="Arial"/>
          <w:sz w:val="24"/>
        </w:rPr>
        <w:t xml:space="preserve"> O processo de contratação de pessoal na modalidade de teste seletivo por prazo determinado conterá:</w:t>
      </w:r>
    </w:p>
    <w:p w14:paraId="4973B5AB" w14:textId="77777777" w:rsidR="004355DA" w:rsidRPr="00F76622" w:rsidRDefault="004355DA" w:rsidP="00415E4C">
      <w:pPr>
        <w:widowControl w:val="0"/>
        <w:numPr>
          <w:ilvl w:val="0"/>
          <w:numId w:val="11"/>
        </w:numPr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lastRenderedPageBreak/>
        <w:t>Justificativa e autorização da autoridade competente para abertura do teste seletivo;</w:t>
      </w:r>
    </w:p>
    <w:p w14:paraId="770D4200" w14:textId="77777777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Edital de convocação e realização do teste seletivo, acompanhado da publicação;</w:t>
      </w:r>
    </w:p>
    <w:p w14:paraId="52A9F4E2" w14:textId="77777777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Ato designando a Comissão Examinadora/Julgadora, acompanhado da publicação;</w:t>
      </w:r>
    </w:p>
    <w:p w14:paraId="5D2457BE" w14:textId="77777777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Edital de homologação das inscrições (havendo alguma impugnação, demonstrá-la), acompanhado da publicação;</w:t>
      </w:r>
    </w:p>
    <w:p w14:paraId="56470577" w14:textId="77777777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Edital do resultado do teste seletivo (havendo empate, demonstrar os critérios utilizados constantes no edital do teste seletivo), acompanhado da publicação;</w:t>
      </w:r>
    </w:p>
    <w:p w14:paraId="7DA98037" w14:textId="77777777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Edital de convocação dos candidatos classificados a serem contratados, acompanhado da publicação;</w:t>
      </w:r>
    </w:p>
    <w:p w14:paraId="6AA8C3F3" w14:textId="77777777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Contrato de trabalho;</w:t>
      </w:r>
    </w:p>
    <w:p w14:paraId="677238C9" w14:textId="77777777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Termo contratual, acompanhado da publicação;</w:t>
      </w:r>
    </w:p>
    <w:p w14:paraId="23F96C5C" w14:textId="77777777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Termo de desistência ou outro fato que justifique a contratação fora da ordem de classificação;</w:t>
      </w:r>
    </w:p>
    <w:p w14:paraId="32BECA22" w14:textId="220A3AA0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Declaração do contratado de que não ocupa cargo ou emprego público em qualquer das esferas de governo, excetuadas as hipóteses previstas no art. 37, XVI, da </w:t>
      </w:r>
      <w:r w:rsidRPr="005E4F85">
        <w:rPr>
          <w:rFonts w:ascii="Arial" w:hAnsi="Arial" w:cs="Arial"/>
          <w:sz w:val="24"/>
          <w:szCs w:val="24"/>
        </w:rPr>
        <w:t>Constituição Federal</w:t>
      </w:r>
      <w:r w:rsidRPr="00F76622">
        <w:rPr>
          <w:rFonts w:ascii="Arial" w:hAnsi="Arial" w:cs="Arial"/>
          <w:sz w:val="24"/>
          <w:szCs w:val="24"/>
        </w:rPr>
        <w:t>, nem percebe outro benefício proveniente de regime próprio de previdência social ou do regime geral de previdência social relativo a emprego público;</w:t>
      </w:r>
    </w:p>
    <w:p w14:paraId="5C5D437B" w14:textId="77777777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Cópia da carteira de identidade - RG e do Cadastro de Pessoa Física do Ministério da Fazenda – CPF;</w:t>
      </w:r>
    </w:p>
    <w:p w14:paraId="00F2AA51" w14:textId="798D7F9E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Declaração do Chefe do Poder ou Órgão competente, atestando que a admissão não excede o limite de gastos com pessoal previsto no art. 20 da </w:t>
      </w:r>
      <w:r w:rsidRPr="005E4F85">
        <w:rPr>
          <w:rFonts w:ascii="Arial" w:hAnsi="Arial" w:cs="Arial"/>
          <w:sz w:val="24"/>
          <w:szCs w:val="24"/>
        </w:rPr>
        <w:t>Lei Complementar nº 101/00</w:t>
      </w:r>
      <w:r w:rsidRPr="00F76622">
        <w:rPr>
          <w:rFonts w:ascii="Arial" w:hAnsi="Arial" w:cs="Arial"/>
          <w:sz w:val="24"/>
          <w:szCs w:val="24"/>
        </w:rPr>
        <w:t>;</w:t>
      </w:r>
    </w:p>
    <w:p w14:paraId="787C96BA" w14:textId="10A479D5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Demonstrativo do impacto orçamentário-financeiro no exercício em que ocorreu o concurso público e nos dois subseq</w:t>
      </w:r>
      <w:r>
        <w:rPr>
          <w:rFonts w:ascii="Arial" w:hAnsi="Arial" w:cs="Arial"/>
          <w:sz w:val="24"/>
          <w:szCs w:val="24"/>
        </w:rPr>
        <w:t>u</w:t>
      </w:r>
      <w:r w:rsidRPr="00F76622">
        <w:rPr>
          <w:rFonts w:ascii="Arial" w:hAnsi="Arial" w:cs="Arial"/>
          <w:sz w:val="24"/>
          <w:szCs w:val="24"/>
        </w:rPr>
        <w:t xml:space="preserve">entes, nos termos do art. 16, I da </w:t>
      </w:r>
      <w:r w:rsidRPr="005E4F85">
        <w:rPr>
          <w:rFonts w:ascii="Arial" w:hAnsi="Arial" w:cs="Arial"/>
          <w:sz w:val="24"/>
          <w:szCs w:val="24"/>
        </w:rPr>
        <w:t>Lei Complementar nº 101/00</w:t>
      </w:r>
      <w:r w:rsidRPr="00F76622">
        <w:rPr>
          <w:rFonts w:ascii="Arial" w:hAnsi="Arial" w:cs="Arial"/>
          <w:sz w:val="24"/>
          <w:szCs w:val="24"/>
        </w:rPr>
        <w:t>;</w:t>
      </w:r>
    </w:p>
    <w:p w14:paraId="5EAF4B57" w14:textId="62CD0202" w:rsidR="004355DA" w:rsidRPr="00F76622" w:rsidRDefault="004355DA" w:rsidP="00415E4C">
      <w:pPr>
        <w:widowControl w:val="0"/>
        <w:numPr>
          <w:ilvl w:val="0"/>
          <w:numId w:val="11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Declaração do Ordenador de Despesa de que o aumento tem adequação orçamentária e financeira com a Lei Orçamentária Anual e compatibilidade com o Plano Plurianual e com a Lei de Diretrizes Orçamentárias, nos termos do art. 16, II da </w:t>
      </w:r>
      <w:r w:rsidRPr="005E4F85">
        <w:rPr>
          <w:rFonts w:ascii="Arial" w:hAnsi="Arial" w:cs="Arial"/>
          <w:sz w:val="24"/>
          <w:szCs w:val="24"/>
        </w:rPr>
        <w:t>Lei Complementar nº 101/00</w:t>
      </w:r>
      <w:r w:rsidRPr="00F76622">
        <w:rPr>
          <w:rFonts w:ascii="Arial" w:hAnsi="Arial" w:cs="Arial"/>
          <w:sz w:val="24"/>
          <w:szCs w:val="24"/>
        </w:rPr>
        <w:t>.</w:t>
      </w:r>
    </w:p>
    <w:p w14:paraId="05EA3209" w14:textId="77777777" w:rsidR="004355DA" w:rsidRPr="00F76622" w:rsidRDefault="004355DA" w:rsidP="00415E4C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b/>
          <w:sz w:val="24"/>
          <w:szCs w:val="24"/>
        </w:rPr>
        <w:t>Art. 6º</w:t>
      </w:r>
      <w:r w:rsidRPr="00F76622">
        <w:rPr>
          <w:rFonts w:ascii="Arial" w:hAnsi="Arial" w:cs="Arial"/>
          <w:sz w:val="24"/>
          <w:szCs w:val="24"/>
        </w:rPr>
        <w:t xml:space="preserve"> O processo de admissão de pessoal complementar conterá:</w:t>
      </w:r>
    </w:p>
    <w:p w14:paraId="048E2631" w14:textId="77777777" w:rsidR="004355DA" w:rsidRPr="00F76622" w:rsidRDefault="004355DA" w:rsidP="00415E4C">
      <w:pPr>
        <w:widowControl w:val="0"/>
        <w:numPr>
          <w:ilvl w:val="0"/>
          <w:numId w:val="12"/>
        </w:numPr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Ofício de encaminhamento contendo o número do processo no Tribunal de Contas e o número da Resolução que julgou as admissões anteriores do mesmo cargo e no mesmo Teste Seletivo ou Concurso Público;</w:t>
      </w:r>
    </w:p>
    <w:p w14:paraId="5C5BCBA3" w14:textId="77777777" w:rsidR="004355DA" w:rsidRPr="00F76622" w:rsidRDefault="004355DA" w:rsidP="00415E4C">
      <w:pPr>
        <w:widowControl w:val="0"/>
        <w:numPr>
          <w:ilvl w:val="0"/>
          <w:numId w:val="12"/>
        </w:numPr>
        <w:tabs>
          <w:tab w:val="left" w:pos="1560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Edital de convocação do candidato a ser nomeado e/ou contratado, acompanhado da publicação;</w:t>
      </w:r>
    </w:p>
    <w:p w14:paraId="48A02200" w14:textId="77777777" w:rsidR="004355DA" w:rsidRPr="00F76622" w:rsidRDefault="004355DA" w:rsidP="00415E4C">
      <w:pPr>
        <w:widowControl w:val="0"/>
        <w:numPr>
          <w:ilvl w:val="0"/>
          <w:numId w:val="12"/>
        </w:numPr>
        <w:tabs>
          <w:tab w:val="left" w:pos="1560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Ato de nomeação/contratação, respeitando a ordem </w:t>
      </w:r>
      <w:r w:rsidRPr="00F76622">
        <w:rPr>
          <w:rFonts w:ascii="Arial" w:hAnsi="Arial" w:cs="Arial"/>
          <w:sz w:val="24"/>
          <w:szCs w:val="24"/>
        </w:rPr>
        <w:lastRenderedPageBreak/>
        <w:t>classificatória, acompanhado da publicação;</w:t>
      </w:r>
    </w:p>
    <w:p w14:paraId="42454885" w14:textId="77777777" w:rsidR="004355DA" w:rsidRPr="00F76622" w:rsidRDefault="004355DA" w:rsidP="00415E4C">
      <w:pPr>
        <w:widowControl w:val="0"/>
        <w:numPr>
          <w:ilvl w:val="0"/>
          <w:numId w:val="12"/>
        </w:numPr>
        <w:tabs>
          <w:tab w:val="left" w:pos="1560"/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Termo de Desistência ou qualquer fato que justifique a admissão/contratação fora da ordem;</w:t>
      </w:r>
    </w:p>
    <w:p w14:paraId="76FBED15" w14:textId="77777777" w:rsidR="004355DA" w:rsidRPr="00F76622" w:rsidRDefault="004355DA" w:rsidP="00415E4C">
      <w:pPr>
        <w:widowControl w:val="0"/>
        <w:numPr>
          <w:ilvl w:val="0"/>
          <w:numId w:val="12"/>
        </w:numPr>
        <w:tabs>
          <w:tab w:val="left" w:pos="1560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Termo de Posse e/ou Cópia do Contrato de Trabalho, com publicação dos respectivos extratos contratuais, no caso de teste seletivo;</w:t>
      </w:r>
    </w:p>
    <w:p w14:paraId="39C32582" w14:textId="77777777" w:rsidR="004355DA" w:rsidRPr="00F76622" w:rsidRDefault="004355DA" w:rsidP="00415E4C">
      <w:pPr>
        <w:widowControl w:val="0"/>
        <w:numPr>
          <w:ilvl w:val="0"/>
          <w:numId w:val="12"/>
        </w:numPr>
        <w:tabs>
          <w:tab w:val="left" w:pos="1560"/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Cópia do Edital de Resultado do Concurso e/ou Teste Seletivo;</w:t>
      </w:r>
    </w:p>
    <w:p w14:paraId="0E82AED7" w14:textId="77777777" w:rsidR="004355DA" w:rsidRPr="00F76622" w:rsidRDefault="004355DA" w:rsidP="00415E4C">
      <w:pPr>
        <w:widowControl w:val="0"/>
        <w:numPr>
          <w:ilvl w:val="0"/>
          <w:numId w:val="12"/>
        </w:numPr>
        <w:tabs>
          <w:tab w:val="left" w:pos="1560"/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Demonstração da validade do Concurso Público, com a juntada da cópia do edital, e em caso de prorrogação declarada pela autoridade competente, juntar a cópia do Ato que prorrogou a validade </w:t>
      </w:r>
      <w:proofErr w:type="gramStart"/>
      <w:r w:rsidRPr="00F76622">
        <w:rPr>
          <w:rFonts w:ascii="Arial" w:hAnsi="Arial" w:cs="Arial"/>
          <w:sz w:val="24"/>
          <w:szCs w:val="24"/>
        </w:rPr>
        <w:t>do mesmo</w:t>
      </w:r>
      <w:proofErr w:type="gramEnd"/>
      <w:r w:rsidRPr="00F76622">
        <w:rPr>
          <w:rFonts w:ascii="Arial" w:hAnsi="Arial" w:cs="Arial"/>
          <w:sz w:val="24"/>
          <w:szCs w:val="24"/>
        </w:rPr>
        <w:t>;</w:t>
      </w:r>
    </w:p>
    <w:p w14:paraId="467A33F0" w14:textId="5153A5F0" w:rsidR="004355DA" w:rsidRPr="00F76622" w:rsidRDefault="004355DA" w:rsidP="00415E4C">
      <w:pPr>
        <w:widowControl w:val="0"/>
        <w:numPr>
          <w:ilvl w:val="0"/>
          <w:numId w:val="12"/>
        </w:numPr>
        <w:tabs>
          <w:tab w:val="left" w:pos="1701"/>
          <w:tab w:val="left" w:pos="1843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Declaração do admitido/contratado de que não ocupa outro cargo ou emprego público em qualquer das esferas do governo, excetuadas as hipóteses previstas no art.</w:t>
      </w:r>
      <w:r>
        <w:rPr>
          <w:rFonts w:ascii="Arial" w:hAnsi="Arial" w:cs="Arial"/>
          <w:sz w:val="24"/>
          <w:szCs w:val="24"/>
        </w:rPr>
        <w:t xml:space="preserve"> </w:t>
      </w:r>
      <w:r w:rsidRPr="00F76622">
        <w:rPr>
          <w:rFonts w:ascii="Arial" w:hAnsi="Arial" w:cs="Arial"/>
          <w:sz w:val="24"/>
          <w:szCs w:val="24"/>
        </w:rPr>
        <w:t xml:space="preserve">37, XVI, da </w:t>
      </w:r>
      <w:r w:rsidRPr="005E4F85">
        <w:rPr>
          <w:rFonts w:ascii="Arial" w:hAnsi="Arial" w:cs="Arial"/>
          <w:sz w:val="24"/>
          <w:szCs w:val="24"/>
        </w:rPr>
        <w:t>Constituição Federal</w:t>
      </w:r>
      <w:r w:rsidRPr="00F76622">
        <w:rPr>
          <w:rFonts w:ascii="Arial" w:hAnsi="Arial" w:cs="Arial"/>
          <w:sz w:val="24"/>
          <w:szCs w:val="24"/>
        </w:rPr>
        <w:t>, nem percebe outro benefício proveniente de regime próprio de previdência social ou regime geral de previdência social relativo a emprego público;</w:t>
      </w:r>
    </w:p>
    <w:p w14:paraId="5927631D" w14:textId="71CBD286" w:rsidR="004355DA" w:rsidRPr="00F76622" w:rsidRDefault="004355DA" w:rsidP="00415E4C">
      <w:pPr>
        <w:widowControl w:val="0"/>
        <w:numPr>
          <w:ilvl w:val="0"/>
          <w:numId w:val="12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 xml:space="preserve">Declaração do Chefe do Poder ou Órgão competente, atestando que a admissão não excede o limite de gastos com pessoal previsto no art. 20 da </w:t>
      </w:r>
      <w:r w:rsidRPr="005E4F85">
        <w:rPr>
          <w:rFonts w:ascii="Arial" w:hAnsi="Arial" w:cs="Arial"/>
          <w:sz w:val="24"/>
          <w:szCs w:val="24"/>
        </w:rPr>
        <w:t>Lei Complementar nº 101/00</w:t>
      </w:r>
      <w:r w:rsidRPr="00F76622">
        <w:rPr>
          <w:rFonts w:ascii="Arial" w:hAnsi="Arial" w:cs="Arial"/>
          <w:sz w:val="24"/>
          <w:szCs w:val="24"/>
        </w:rPr>
        <w:t>;</w:t>
      </w:r>
    </w:p>
    <w:p w14:paraId="57124313" w14:textId="77777777" w:rsidR="004355DA" w:rsidRPr="00F76622" w:rsidRDefault="004355DA" w:rsidP="00415E4C">
      <w:pPr>
        <w:widowControl w:val="0"/>
        <w:numPr>
          <w:ilvl w:val="0"/>
          <w:numId w:val="12"/>
        </w:numPr>
        <w:tabs>
          <w:tab w:val="left" w:pos="1701"/>
        </w:tabs>
        <w:suppressAutoHyphens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6622">
        <w:rPr>
          <w:rFonts w:ascii="Arial" w:hAnsi="Arial" w:cs="Arial"/>
          <w:sz w:val="24"/>
          <w:szCs w:val="24"/>
        </w:rPr>
        <w:t>Cópia da carteira de identidade – RG e do Cadastro de Pessoa Física do Ministério da Fazenda – CPF.</w:t>
      </w:r>
    </w:p>
    <w:p w14:paraId="72A40D2F" w14:textId="6FAC3164" w:rsidR="004355DA" w:rsidRPr="00F76622" w:rsidRDefault="004355DA" w:rsidP="00415E4C">
      <w:pPr>
        <w:pStyle w:val="Corpodetexto"/>
        <w:widowControl w:val="0"/>
        <w:suppressAutoHyphens/>
        <w:spacing w:before="120"/>
        <w:ind w:firstLine="1134"/>
        <w:jc w:val="both"/>
        <w:rPr>
          <w:rFonts w:ascii="Arial" w:hAnsi="Arial" w:cs="Arial"/>
          <w:sz w:val="24"/>
        </w:rPr>
      </w:pPr>
      <w:r w:rsidRPr="00F76622">
        <w:rPr>
          <w:rFonts w:ascii="Arial" w:hAnsi="Arial" w:cs="Arial"/>
          <w:b/>
          <w:sz w:val="24"/>
        </w:rPr>
        <w:t>Art. 7º</w:t>
      </w:r>
      <w:r w:rsidRPr="00F76622">
        <w:rPr>
          <w:rFonts w:ascii="Arial" w:hAnsi="Arial" w:cs="Arial"/>
          <w:sz w:val="24"/>
        </w:rPr>
        <w:t xml:space="preserve"> A Diretoria de Protocolo não recepcionará processos de admissão de pessoal sem ofício de encaminhamento e índice dos documentos componentes do processo, conforme disposto no art. 10 do </w:t>
      </w:r>
      <w:hyperlink r:id="rId11" w:history="1">
        <w:r w:rsidRPr="00861D1E">
          <w:rPr>
            <w:rStyle w:val="Hyperlink"/>
            <w:rFonts w:ascii="Arial" w:hAnsi="Arial" w:cs="Arial"/>
            <w:sz w:val="24"/>
          </w:rPr>
          <w:t>Provimento nº 47/02</w:t>
        </w:r>
      </w:hyperlink>
      <w:r w:rsidRPr="00F76622">
        <w:rPr>
          <w:rFonts w:ascii="Arial" w:hAnsi="Arial" w:cs="Arial"/>
          <w:sz w:val="24"/>
        </w:rPr>
        <w:t>[3].</w:t>
      </w:r>
    </w:p>
    <w:p w14:paraId="1A9AC9C0" w14:textId="77777777" w:rsidR="004355DA" w:rsidRPr="00F76622" w:rsidRDefault="004355DA" w:rsidP="00415E4C">
      <w:pPr>
        <w:pStyle w:val="Corpodetexto"/>
        <w:widowControl w:val="0"/>
        <w:suppressAutoHyphens/>
        <w:spacing w:before="120"/>
        <w:ind w:firstLine="1134"/>
        <w:jc w:val="both"/>
        <w:rPr>
          <w:rFonts w:ascii="Arial" w:hAnsi="Arial" w:cs="Arial"/>
          <w:sz w:val="24"/>
        </w:rPr>
      </w:pPr>
      <w:r w:rsidRPr="00F76622">
        <w:rPr>
          <w:rFonts w:ascii="Arial" w:hAnsi="Arial" w:cs="Arial"/>
          <w:b/>
          <w:sz w:val="24"/>
        </w:rPr>
        <w:t>Art. 8º</w:t>
      </w:r>
      <w:r w:rsidRPr="00F76622">
        <w:rPr>
          <w:rFonts w:ascii="Arial" w:hAnsi="Arial" w:cs="Arial"/>
          <w:sz w:val="24"/>
        </w:rPr>
        <w:t xml:space="preserve"> A ausência de qualquer dos elementos exigidos nos termos desta Instrução Técnica constitui fator determinante de irregularidade formal, salvo quando expressamente declarada, pelo responsável, a sua inexistência ou inaplicabilidade.</w:t>
      </w:r>
    </w:p>
    <w:p w14:paraId="3F3A8006" w14:textId="77777777" w:rsidR="004355DA" w:rsidRPr="00F76622" w:rsidRDefault="004355DA" w:rsidP="00415E4C">
      <w:pPr>
        <w:pStyle w:val="Corpodetexto"/>
        <w:widowControl w:val="0"/>
        <w:suppressAutoHyphens/>
        <w:spacing w:before="120"/>
        <w:ind w:firstLine="1134"/>
        <w:jc w:val="both"/>
        <w:rPr>
          <w:rFonts w:ascii="Arial" w:hAnsi="Arial" w:cs="Arial"/>
          <w:sz w:val="24"/>
        </w:rPr>
      </w:pPr>
      <w:r w:rsidRPr="00F76622">
        <w:rPr>
          <w:rFonts w:ascii="Arial" w:hAnsi="Arial" w:cs="Arial"/>
          <w:b/>
          <w:sz w:val="24"/>
        </w:rPr>
        <w:t>Art. 9º</w:t>
      </w:r>
      <w:r w:rsidRPr="00F76622">
        <w:rPr>
          <w:rFonts w:ascii="Arial" w:hAnsi="Arial" w:cs="Arial"/>
          <w:sz w:val="24"/>
        </w:rPr>
        <w:t xml:space="preserve"> A Diretoria de Contas Estaduais manterá serviço telefônico (0xx41-3350-1740) e de correio eletrônico no endereço </w:t>
      </w:r>
      <w:hyperlink r:id="rId12" w:history="1">
        <w:r w:rsidRPr="00BB32D5">
          <w:rPr>
            <w:rStyle w:val="Hyperlink"/>
            <w:rFonts w:ascii="Arial" w:hAnsi="Arial" w:cs="Arial"/>
            <w:sz w:val="24"/>
          </w:rPr>
          <w:t>tcprdce@tce.pr.gov.br</w:t>
        </w:r>
      </w:hyperlink>
      <w:r w:rsidRPr="00F76622">
        <w:rPr>
          <w:rFonts w:ascii="Arial" w:hAnsi="Arial" w:cs="Arial"/>
          <w:sz w:val="24"/>
        </w:rPr>
        <w:t xml:space="preserve"> para orientações técnicas na área estadual.</w:t>
      </w:r>
    </w:p>
    <w:p w14:paraId="424E45A3" w14:textId="35962580" w:rsidR="004355DA" w:rsidRDefault="004355DA" w:rsidP="00415E4C">
      <w:pPr>
        <w:pStyle w:val="Corpodetexto"/>
        <w:widowControl w:val="0"/>
        <w:suppressAutoHyphens/>
        <w:spacing w:before="120"/>
        <w:ind w:firstLine="1134"/>
        <w:jc w:val="both"/>
        <w:rPr>
          <w:rFonts w:ascii="Arial" w:hAnsi="Arial" w:cs="Arial"/>
          <w:sz w:val="24"/>
        </w:rPr>
      </w:pPr>
      <w:r w:rsidRPr="00F76622">
        <w:rPr>
          <w:rFonts w:ascii="Arial" w:hAnsi="Arial" w:cs="Arial"/>
          <w:b/>
          <w:sz w:val="24"/>
        </w:rPr>
        <w:t>Art. 10.</w:t>
      </w:r>
      <w:r w:rsidRPr="00F76622">
        <w:rPr>
          <w:rFonts w:ascii="Arial" w:hAnsi="Arial" w:cs="Arial"/>
          <w:sz w:val="24"/>
        </w:rPr>
        <w:t xml:space="preserve"> Revoga-se a </w:t>
      </w:r>
      <w:hyperlink r:id="rId13" w:history="1">
        <w:r w:rsidRPr="00E23377">
          <w:rPr>
            <w:rStyle w:val="Hyperlink"/>
            <w:rFonts w:ascii="Arial" w:hAnsi="Arial" w:cs="Arial"/>
            <w:sz w:val="24"/>
          </w:rPr>
          <w:t>Instrução Técnica nº 43, de 20 de junho de 2005</w:t>
        </w:r>
      </w:hyperlink>
      <w:r w:rsidRPr="00F76622">
        <w:rPr>
          <w:rFonts w:ascii="Arial" w:hAnsi="Arial" w:cs="Arial"/>
          <w:sz w:val="24"/>
        </w:rPr>
        <w:t>.</w:t>
      </w:r>
    </w:p>
    <w:p w14:paraId="31BEEAA4" w14:textId="77777777" w:rsidR="000537C7" w:rsidRPr="000537C7" w:rsidRDefault="000537C7" w:rsidP="000537C7">
      <w:pPr>
        <w:pStyle w:val="Default"/>
        <w:rPr>
          <w:lang w:eastAsia="pt-BR"/>
        </w:rPr>
      </w:pPr>
    </w:p>
    <w:p w14:paraId="4FD267CA" w14:textId="77777777" w:rsidR="004355DA" w:rsidRDefault="004355DA" w:rsidP="000537C7">
      <w:pPr>
        <w:widowControl w:val="0"/>
        <w:suppressAutoHyphens/>
        <w:spacing w:before="240"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F76622">
        <w:rPr>
          <w:rFonts w:ascii="Arial" w:hAnsi="Arial" w:cs="Arial"/>
          <w:iCs/>
          <w:sz w:val="24"/>
          <w:szCs w:val="24"/>
        </w:rPr>
        <w:t>Curitiba, em 14 de dezembro de 2006.</w:t>
      </w:r>
    </w:p>
    <w:p w14:paraId="1BB6A2A0" w14:textId="77777777" w:rsidR="000537C7" w:rsidRDefault="000537C7" w:rsidP="000537C7">
      <w:pPr>
        <w:widowControl w:val="0"/>
        <w:suppressAutoHyphens/>
        <w:spacing w:before="240"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p w14:paraId="55E48799" w14:textId="77777777" w:rsidR="004355DA" w:rsidRPr="00F76622" w:rsidRDefault="004355DA" w:rsidP="000537C7">
      <w:pPr>
        <w:widowControl w:val="0"/>
        <w:suppressAutoHyphens/>
        <w:spacing w:before="240"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F76622">
        <w:rPr>
          <w:rFonts w:ascii="Arial" w:hAnsi="Arial" w:cs="Arial"/>
          <w:iCs/>
          <w:sz w:val="24"/>
          <w:szCs w:val="24"/>
        </w:rPr>
        <w:t>HEINZ GEORG HERWIG</w:t>
      </w:r>
    </w:p>
    <w:p w14:paraId="3B32E2E8" w14:textId="77777777" w:rsidR="004355DA" w:rsidRDefault="004355DA" w:rsidP="000537C7">
      <w:pPr>
        <w:widowControl w:val="0"/>
        <w:suppressAutoHyphens/>
        <w:spacing w:before="240"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F76622">
        <w:rPr>
          <w:rFonts w:ascii="Arial" w:hAnsi="Arial" w:cs="Arial"/>
          <w:b/>
          <w:iCs/>
          <w:sz w:val="24"/>
          <w:szCs w:val="24"/>
        </w:rPr>
        <w:t>Presidente</w:t>
      </w:r>
    </w:p>
    <w:p w14:paraId="2A37AE75" w14:textId="77777777" w:rsidR="004355DA" w:rsidRDefault="004355DA" w:rsidP="000537C7">
      <w:pPr>
        <w:widowControl w:val="0"/>
        <w:suppressAutoHyphens/>
        <w:spacing w:before="240" w:after="0" w:line="240" w:lineRule="auto"/>
        <w:ind w:firstLine="1134"/>
        <w:rPr>
          <w:rFonts w:ascii="Arial" w:hAnsi="Arial" w:cs="Arial"/>
          <w:b/>
          <w:iCs/>
          <w:sz w:val="24"/>
          <w:szCs w:val="24"/>
        </w:rPr>
      </w:pPr>
    </w:p>
    <w:p w14:paraId="352C7F9E" w14:textId="77777777" w:rsidR="004355DA" w:rsidRDefault="004355DA" w:rsidP="004355DA">
      <w:pPr>
        <w:widowControl w:val="0"/>
        <w:pBdr>
          <w:bottom w:val="single" w:sz="12" w:space="1" w:color="auto"/>
        </w:pBdr>
        <w:suppressAutoHyphens/>
        <w:spacing w:before="120" w:after="0" w:line="240" w:lineRule="auto"/>
        <w:ind w:firstLine="1134"/>
        <w:rPr>
          <w:rFonts w:ascii="Arial" w:hAnsi="Arial" w:cs="Arial"/>
          <w:b/>
          <w:iCs/>
          <w:sz w:val="24"/>
          <w:szCs w:val="24"/>
        </w:rPr>
      </w:pPr>
    </w:p>
    <w:p w14:paraId="3D34A20D" w14:textId="5C65D494" w:rsidR="0015408B" w:rsidRPr="004355DA" w:rsidRDefault="004355DA" w:rsidP="00415E4C">
      <w:pPr>
        <w:pStyle w:val="Textodenotadefim"/>
        <w:widowControl w:val="0"/>
        <w:suppressAutoHyphens/>
        <w:jc w:val="both"/>
      </w:pPr>
      <w:r w:rsidRPr="00F76622">
        <w:rPr>
          <w:rFonts w:ascii="Arial" w:hAnsi="Arial" w:cs="Arial"/>
          <w:sz w:val="18"/>
          <w:szCs w:val="18"/>
        </w:rPr>
        <w:t>[3] Provimento anterior nº 1/2002</w:t>
      </w:r>
    </w:p>
    <w:sectPr w:rsidR="0015408B" w:rsidRPr="004355DA" w:rsidSect="004617EA">
      <w:headerReference w:type="default" r:id="rId14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E480" w14:textId="77777777" w:rsidR="007E14CF" w:rsidRDefault="007E14CF" w:rsidP="00B14F79">
      <w:pPr>
        <w:spacing w:after="0" w:line="240" w:lineRule="auto"/>
      </w:pPr>
      <w:r>
        <w:separator/>
      </w:r>
    </w:p>
  </w:endnote>
  <w:endnote w:type="continuationSeparator" w:id="0">
    <w:p w14:paraId="2610EEA7" w14:textId="77777777" w:rsidR="007E14CF" w:rsidRDefault="007E14CF" w:rsidP="00B1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6C99" w14:textId="77777777" w:rsidR="007E14CF" w:rsidRDefault="007E14CF" w:rsidP="00B14F79">
      <w:pPr>
        <w:spacing w:after="0" w:line="240" w:lineRule="auto"/>
      </w:pPr>
      <w:r>
        <w:separator/>
      </w:r>
    </w:p>
  </w:footnote>
  <w:footnote w:type="continuationSeparator" w:id="0">
    <w:p w14:paraId="2C0A11E3" w14:textId="77777777" w:rsidR="007E14CF" w:rsidRDefault="007E14CF" w:rsidP="00B14F79">
      <w:pPr>
        <w:spacing w:after="0" w:line="240" w:lineRule="auto"/>
      </w:pPr>
      <w:r>
        <w:continuationSeparator/>
      </w:r>
    </w:p>
  </w:footnote>
  <w:footnote w:id="1">
    <w:p w14:paraId="36789A7C" w14:textId="77777777" w:rsidR="004355DA" w:rsidRPr="00F76622" w:rsidRDefault="004355DA" w:rsidP="004355DA">
      <w:pPr>
        <w:pStyle w:val="Textodenotadefim"/>
        <w:widowControl w:val="0"/>
        <w:suppressAutoHyphens/>
        <w:jc w:val="both"/>
        <w:rPr>
          <w:rFonts w:ascii="Arial" w:hAnsi="Arial" w:cs="Arial"/>
          <w:sz w:val="18"/>
          <w:szCs w:val="18"/>
        </w:rPr>
      </w:pPr>
      <w:r w:rsidRPr="00F76622">
        <w:rPr>
          <w:rFonts w:ascii="Arial" w:hAnsi="Arial" w:cs="Arial"/>
          <w:sz w:val="18"/>
          <w:szCs w:val="18"/>
        </w:rPr>
        <w:t>[1] Alterada numeração conforme Provimento</w:t>
      </w:r>
      <w:r>
        <w:rPr>
          <w:rFonts w:ascii="Arial" w:hAnsi="Arial" w:cs="Arial"/>
          <w:sz w:val="18"/>
          <w:szCs w:val="18"/>
        </w:rPr>
        <w:t xml:space="preserve"> 49/02 (Provimento anterior nº </w:t>
      </w:r>
      <w:r w:rsidRPr="00F76622">
        <w:rPr>
          <w:rFonts w:ascii="Arial" w:hAnsi="Arial" w:cs="Arial"/>
          <w:sz w:val="18"/>
          <w:szCs w:val="18"/>
        </w:rPr>
        <w:t>1/89)</w:t>
      </w:r>
    </w:p>
    <w:p w14:paraId="4BCB62D5" w14:textId="77777777" w:rsidR="004355DA" w:rsidRDefault="004355DA" w:rsidP="004355DA">
      <w:pPr>
        <w:pStyle w:val="Textodenotadefim"/>
        <w:widowControl w:val="0"/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[2] Provimento anterior nº </w:t>
      </w:r>
      <w:r w:rsidRPr="00F76622">
        <w:rPr>
          <w:rFonts w:ascii="Arial" w:hAnsi="Arial" w:cs="Arial"/>
          <w:sz w:val="18"/>
          <w:szCs w:val="18"/>
        </w:rPr>
        <w:t>2/89</w:t>
      </w:r>
    </w:p>
    <w:p w14:paraId="549B72C6" w14:textId="77777777" w:rsidR="004355DA" w:rsidRPr="00F76622" w:rsidRDefault="004355DA" w:rsidP="004355DA">
      <w:pPr>
        <w:pStyle w:val="Textodenotadefim"/>
        <w:widowControl w:val="0"/>
        <w:suppressAutoHyphens/>
        <w:jc w:val="both"/>
        <w:rPr>
          <w:rFonts w:ascii="Arial" w:hAnsi="Arial" w:cs="Arial"/>
          <w:sz w:val="18"/>
          <w:szCs w:val="18"/>
        </w:rPr>
      </w:pPr>
    </w:p>
    <w:p w14:paraId="6A8EF742" w14:textId="38BE395C" w:rsidR="004355DA" w:rsidRPr="006A66CE" w:rsidRDefault="00871685" w:rsidP="004355DA">
      <w:pPr>
        <w:pStyle w:val="Textodenotaderodap"/>
        <w:rPr>
          <w:rFonts w:ascii="Arial" w:hAnsi="Arial" w:cs="Arial"/>
        </w:rPr>
      </w:pPr>
      <w:r w:rsidRPr="003403ED">
        <w:rPr>
          <w:rStyle w:val="Refdenotaderodap"/>
        </w:rPr>
        <w:t>*</w:t>
      </w:r>
      <w:r w:rsidR="004355DA" w:rsidRPr="003403ED">
        <w:t xml:space="preserve"> </w:t>
      </w:r>
      <w:r w:rsidR="003403ED" w:rsidRPr="006A66CE">
        <w:rPr>
          <w:rFonts w:ascii="Arial" w:hAnsi="Arial" w:cs="Arial"/>
          <w:b/>
        </w:rPr>
        <w:t>Notas</w:t>
      </w:r>
      <w:r w:rsidR="004355DA" w:rsidRPr="006A66CE">
        <w:rPr>
          <w:rFonts w:ascii="Arial" w:hAnsi="Arial" w:cs="Arial"/>
          <w:b/>
        </w:rPr>
        <w:t xml:space="preserve"> da Biblioteca:</w:t>
      </w:r>
    </w:p>
    <w:p w14:paraId="09B09D4F" w14:textId="364291B9" w:rsidR="004355DA" w:rsidRPr="006A66CE" w:rsidRDefault="004355DA" w:rsidP="004A0254">
      <w:pPr>
        <w:pStyle w:val="PargrafodaLista"/>
        <w:numPr>
          <w:ilvl w:val="0"/>
          <w:numId w:val="13"/>
        </w:numPr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6A66CE">
        <w:rPr>
          <w:rFonts w:ascii="Arial" w:hAnsi="Arial" w:cs="Arial"/>
          <w:sz w:val="20"/>
          <w:szCs w:val="20"/>
        </w:rPr>
        <w:t>Este texto não substitui o publicado no periódico</w:t>
      </w:r>
      <w:r w:rsidR="005E304B" w:rsidRPr="006A66CE">
        <w:rPr>
          <w:rFonts w:ascii="Arial" w:hAnsi="Arial" w:cs="Arial"/>
          <w:sz w:val="20"/>
          <w:szCs w:val="20"/>
        </w:rPr>
        <w:t>:</w:t>
      </w:r>
      <w:r w:rsidRPr="006A66CE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="001A42B8" w:rsidRPr="006A66CE">
          <w:rPr>
            <w:rStyle w:val="Hyperlink"/>
            <w:rFonts w:ascii="Arial" w:hAnsi="Arial" w:cs="Arial"/>
            <w:b/>
            <w:sz w:val="20"/>
            <w:szCs w:val="20"/>
          </w:rPr>
          <w:t>Atos Oficiais do Tribunal de Contas do Estado do Paraná</w:t>
        </w:r>
        <w:r w:rsidR="001A42B8" w:rsidRPr="006A66CE">
          <w:rPr>
            <w:rStyle w:val="Hyperlink"/>
            <w:rFonts w:ascii="Arial" w:hAnsi="Arial" w:cs="Arial"/>
            <w:sz w:val="20"/>
            <w:szCs w:val="20"/>
          </w:rPr>
          <w:t>, Curitiba, PR, n. 80, 22 dez. 2006, p. 75-76.</w:t>
        </w:r>
      </w:hyperlink>
    </w:p>
    <w:p w14:paraId="578F9C9D" w14:textId="34980A68" w:rsidR="004355DA" w:rsidRPr="006A66CE" w:rsidRDefault="004355DA" w:rsidP="004A0254">
      <w:pPr>
        <w:pStyle w:val="PargrafodaLista"/>
        <w:numPr>
          <w:ilvl w:val="0"/>
          <w:numId w:val="13"/>
        </w:numPr>
        <w:spacing w:after="0" w:line="240" w:lineRule="auto"/>
        <w:ind w:left="426" w:hanging="284"/>
        <w:rPr>
          <w:rFonts w:ascii="Arial" w:hAnsi="Arial" w:cs="Arial"/>
          <w:bCs/>
          <w:sz w:val="20"/>
          <w:szCs w:val="20"/>
        </w:rPr>
      </w:pPr>
      <w:r w:rsidRPr="006A66CE">
        <w:rPr>
          <w:rFonts w:ascii="Arial" w:hAnsi="Arial" w:cs="Arial"/>
          <w:sz w:val="20"/>
          <w:szCs w:val="20"/>
        </w:rPr>
        <w:t xml:space="preserve">Origem: </w:t>
      </w:r>
      <w:r w:rsidRPr="006A66CE">
        <w:rPr>
          <w:rFonts w:ascii="Arial" w:hAnsi="Arial" w:cs="Arial"/>
          <w:bCs/>
          <w:sz w:val="20"/>
          <w:szCs w:val="20"/>
        </w:rPr>
        <w:t xml:space="preserve">Processo n. </w:t>
      </w:r>
      <w:r w:rsidRPr="006A66CE">
        <w:rPr>
          <w:rFonts w:ascii="Arial" w:hAnsi="Arial" w:cs="Arial"/>
          <w:sz w:val="20"/>
          <w:szCs w:val="20"/>
        </w:rPr>
        <w:t xml:space="preserve">59814-1/06 - </w:t>
      </w:r>
      <w:hyperlink r:id="rId2" w:history="1">
        <w:r w:rsidRPr="00D23F0D">
          <w:rPr>
            <w:rStyle w:val="Hyperlink"/>
            <w:rFonts w:ascii="Arial" w:hAnsi="Arial" w:cs="Arial"/>
            <w:bCs/>
            <w:sz w:val="20"/>
            <w:szCs w:val="20"/>
          </w:rPr>
          <w:t xml:space="preserve">Acórdão n. </w:t>
        </w:r>
        <w:r w:rsidRPr="00D23F0D">
          <w:rPr>
            <w:rStyle w:val="Hyperlink"/>
            <w:rFonts w:ascii="Arial" w:hAnsi="Arial" w:cs="Arial"/>
            <w:sz w:val="20"/>
            <w:szCs w:val="20"/>
          </w:rPr>
          <w:t>1931/06</w:t>
        </w:r>
        <w:r w:rsidRPr="00D23F0D">
          <w:rPr>
            <w:rStyle w:val="Hyperlink"/>
            <w:rFonts w:ascii="Arial" w:hAnsi="Arial" w:cs="Arial"/>
            <w:bCs/>
            <w:sz w:val="20"/>
            <w:szCs w:val="20"/>
          </w:rPr>
          <w:t xml:space="preserve"> – Tribunal Pleno</w:t>
        </w:r>
      </w:hyperlink>
      <w:r w:rsidRPr="006A66CE">
        <w:rPr>
          <w:rFonts w:ascii="Arial" w:hAnsi="Arial" w:cs="Arial"/>
          <w:bCs/>
          <w:sz w:val="20"/>
          <w:szCs w:val="20"/>
        </w:rPr>
        <w:t>.</w:t>
      </w:r>
    </w:p>
    <w:p w14:paraId="3B7826BA" w14:textId="058BE2A2" w:rsidR="004355DA" w:rsidRPr="006A66CE" w:rsidRDefault="004355DA" w:rsidP="004A0254">
      <w:pPr>
        <w:pStyle w:val="PargrafodaLista"/>
        <w:numPr>
          <w:ilvl w:val="0"/>
          <w:numId w:val="13"/>
        </w:numPr>
        <w:spacing w:after="0" w:line="240" w:lineRule="auto"/>
        <w:ind w:left="426" w:hanging="284"/>
        <w:rPr>
          <w:rFonts w:ascii="Arial" w:hAnsi="Arial" w:cs="Arial"/>
          <w:bCs/>
          <w:sz w:val="20"/>
          <w:szCs w:val="20"/>
        </w:rPr>
      </w:pPr>
      <w:r w:rsidRPr="006A66CE">
        <w:rPr>
          <w:rFonts w:ascii="Arial" w:hAnsi="Arial" w:cs="Arial"/>
          <w:b/>
          <w:sz w:val="20"/>
          <w:szCs w:val="20"/>
        </w:rPr>
        <w:t>Regulamenta</w:t>
      </w:r>
      <w:r w:rsidRPr="006A66CE">
        <w:rPr>
          <w:rFonts w:ascii="Arial" w:hAnsi="Arial" w:cs="Arial"/>
          <w:bCs/>
          <w:sz w:val="20"/>
          <w:szCs w:val="20"/>
        </w:rPr>
        <w:t xml:space="preserve">: </w:t>
      </w:r>
    </w:p>
    <w:p w14:paraId="0B72726F" w14:textId="63CA6D6E" w:rsidR="004355DA" w:rsidRPr="006A66CE" w:rsidRDefault="00D23F0D" w:rsidP="004A0254">
      <w:pPr>
        <w:pStyle w:val="PargrafodaLista"/>
        <w:spacing w:after="0" w:line="240" w:lineRule="auto"/>
        <w:ind w:left="426"/>
        <w:rPr>
          <w:rFonts w:ascii="Arial" w:hAnsi="Arial" w:cs="Arial"/>
          <w:bCs/>
          <w:sz w:val="20"/>
          <w:szCs w:val="20"/>
        </w:rPr>
      </w:pPr>
      <w:hyperlink r:id="rId3" w:history="1">
        <w:r w:rsidR="004355DA" w:rsidRPr="006A66CE">
          <w:rPr>
            <w:rStyle w:val="Hyperlink"/>
            <w:rFonts w:ascii="Arial" w:hAnsi="Arial" w:cs="Arial"/>
            <w:bCs/>
            <w:sz w:val="20"/>
            <w:szCs w:val="20"/>
          </w:rPr>
          <w:t>Provimento n. 17, de 22 de junho de 1989</w:t>
        </w:r>
      </w:hyperlink>
      <w:r w:rsidR="00FB5DC3" w:rsidRPr="006A66CE">
        <w:rPr>
          <w:rStyle w:val="Hyperlink"/>
          <w:rFonts w:ascii="Arial" w:hAnsi="Arial" w:cs="Arial"/>
          <w:bCs/>
          <w:sz w:val="20"/>
          <w:szCs w:val="20"/>
        </w:rPr>
        <w:t>.</w:t>
      </w:r>
    </w:p>
    <w:p w14:paraId="409CBD07" w14:textId="3A1F468E" w:rsidR="004355DA" w:rsidRPr="006A66CE" w:rsidRDefault="00D23F0D" w:rsidP="004A0254">
      <w:pPr>
        <w:pStyle w:val="PargrafodaLista"/>
        <w:spacing w:after="0" w:line="240" w:lineRule="auto"/>
        <w:ind w:left="426"/>
        <w:rPr>
          <w:rFonts w:ascii="Arial" w:hAnsi="Arial" w:cs="Arial"/>
          <w:bCs/>
          <w:sz w:val="20"/>
          <w:szCs w:val="20"/>
        </w:rPr>
      </w:pPr>
      <w:hyperlink r:id="rId4" w:history="1">
        <w:r w:rsidR="004355DA" w:rsidRPr="006A66CE">
          <w:rPr>
            <w:rStyle w:val="Hyperlink"/>
            <w:rFonts w:ascii="Arial" w:hAnsi="Arial" w:cs="Arial"/>
            <w:bCs/>
            <w:sz w:val="20"/>
            <w:szCs w:val="20"/>
          </w:rPr>
          <w:t>Provimento n. 18, de 17 de agosto de 1989</w:t>
        </w:r>
      </w:hyperlink>
      <w:r w:rsidR="00FB5DC3" w:rsidRPr="006A66CE">
        <w:rPr>
          <w:rFonts w:ascii="Arial" w:hAnsi="Arial" w:cs="Arial"/>
          <w:bCs/>
          <w:sz w:val="20"/>
          <w:szCs w:val="20"/>
        </w:rPr>
        <w:t>.</w:t>
      </w:r>
    </w:p>
    <w:p w14:paraId="580C91EE" w14:textId="7985CBD1" w:rsidR="004355DA" w:rsidRPr="006A66CE" w:rsidRDefault="004355DA" w:rsidP="004A0254">
      <w:pPr>
        <w:pStyle w:val="PargrafodaLista"/>
        <w:numPr>
          <w:ilvl w:val="0"/>
          <w:numId w:val="13"/>
        </w:numPr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6A66CE">
        <w:rPr>
          <w:rFonts w:ascii="Arial" w:hAnsi="Arial" w:cs="Arial"/>
          <w:b/>
          <w:sz w:val="20"/>
          <w:szCs w:val="20"/>
        </w:rPr>
        <w:t>Revoga</w:t>
      </w:r>
      <w:r w:rsidRPr="006A66CE">
        <w:rPr>
          <w:rFonts w:ascii="Arial" w:hAnsi="Arial" w:cs="Arial"/>
          <w:sz w:val="20"/>
          <w:szCs w:val="20"/>
        </w:rPr>
        <w:t xml:space="preserve">: </w:t>
      </w:r>
      <w:hyperlink r:id="rId5" w:history="1">
        <w:r w:rsidRPr="006A66CE">
          <w:rPr>
            <w:rStyle w:val="Hyperlink"/>
            <w:rFonts w:ascii="Arial" w:hAnsi="Arial" w:cs="Arial"/>
            <w:sz w:val="20"/>
            <w:szCs w:val="20"/>
          </w:rPr>
          <w:t>Instrução Técnica n. 43, de 20 de junho de 2005</w:t>
        </w:r>
      </w:hyperlink>
      <w:r w:rsidR="00FB5DC3" w:rsidRPr="006A66CE">
        <w:rPr>
          <w:rFonts w:ascii="Arial" w:hAnsi="Arial" w:cs="Arial"/>
          <w:sz w:val="20"/>
          <w:szCs w:val="20"/>
        </w:rPr>
        <w:t>.</w:t>
      </w:r>
    </w:p>
    <w:p w14:paraId="75472FE0" w14:textId="4D868053" w:rsidR="004355DA" w:rsidRPr="006A66CE" w:rsidRDefault="004355DA" w:rsidP="004A0254">
      <w:pPr>
        <w:pStyle w:val="PargrafodaLista"/>
        <w:numPr>
          <w:ilvl w:val="0"/>
          <w:numId w:val="13"/>
        </w:numPr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6A66CE">
        <w:rPr>
          <w:rFonts w:ascii="Arial" w:hAnsi="Arial" w:cs="Arial"/>
          <w:b/>
          <w:color w:val="FF0000"/>
          <w:sz w:val="20"/>
          <w:szCs w:val="20"/>
        </w:rPr>
        <w:t>Revogada</w:t>
      </w:r>
      <w:r w:rsidRPr="006A66CE">
        <w:rPr>
          <w:rFonts w:ascii="Arial" w:hAnsi="Arial" w:cs="Arial"/>
          <w:sz w:val="20"/>
          <w:szCs w:val="20"/>
        </w:rPr>
        <w:t xml:space="preserve"> por: </w:t>
      </w:r>
      <w:hyperlink r:id="rId6" w:history="1">
        <w:r w:rsidR="0093658E" w:rsidRPr="006A66CE">
          <w:rPr>
            <w:rStyle w:val="Hyperlink"/>
            <w:rFonts w:ascii="Arial" w:hAnsi="Arial" w:cs="Arial"/>
            <w:sz w:val="20"/>
            <w:szCs w:val="20"/>
          </w:rPr>
          <w:t>Instrução Normativa n. 71, de agosto de 2012</w:t>
        </w:r>
      </w:hyperlink>
      <w:r w:rsidR="0093658E" w:rsidRPr="006A66CE">
        <w:rPr>
          <w:rFonts w:ascii="Arial" w:hAnsi="Arial" w:cs="Arial"/>
          <w:sz w:val="20"/>
          <w:szCs w:val="20"/>
        </w:rPr>
        <w:t>.</w:t>
      </w:r>
    </w:p>
    <w:p w14:paraId="15781DE8" w14:textId="242CAD81" w:rsidR="008C5414" w:rsidRPr="006A66CE" w:rsidRDefault="008C5414" w:rsidP="008C5414">
      <w:pPr>
        <w:pStyle w:val="PargrafodaLista"/>
        <w:numPr>
          <w:ilvl w:val="0"/>
          <w:numId w:val="13"/>
        </w:numPr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6A66CE">
        <w:rPr>
          <w:rFonts w:ascii="Arial" w:hAnsi="Arial" w:cs="Arial"/>
          <w:b/>
          <w:sz w:val="20"/>
          <w:szCs w:val="20"/>
        </w:rPr>
        <w:t>Ver também</w:t>
      </w:r>
      <w:r w:rsidRPr="006A66CE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6A66CE" w:rsidRPr="006A66CE">
          <w:rPr>
            <w:rStyle w:val="Hyperlink"/>
            <w:rFonts w:ascii="Arial" w:hAnsi="Arial" w:cs="Arial"/>
            <w:sz w:val="20"/>
            <w:szCs w:val="20"/>
          </w:rPr>
          <w:t>Provimento n. 47, de 20 de junho de 2002</w:t>
        </w:r>
      </w:hyperlink>
      <w:r w:rsidR="006A66CE" w:rsidRPr="006A66CE">
        <w:rPr>
          <w:rFonts w:ascii="Arial" w:hAnsi="Arial" w:cs="Arial"/>
          <w:sz w:val="20"/>
          <w:szCs w:val="20"/>
        </w:rPr>
        <w:t>.</w:t>
      </w:r>
    </w:p>
    <w:p w14:paraId="22BA692B" w14:textId="6D2E5B79" w:rsidR="004355DA" w:rsidRPr="001B3EEA" w:rsidRDefault="004355DA" w:rsidP="004355DA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76C5" w14:textId="77777777" w:rsidR="00B14F79" w:rsidRPr="004D1819" w:rsidRDefault="00FA0CE2" w:rsidP="004617EA">
    <w:pPr>
      <w:keepLines/>
      <w:spacing w:before="36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bookmarkStart w:id="0" w:name="_Hlk503268480"/>
    <w:bookmarkStart w:id="1" w:name="_Hlk503268481"/>
    <w:bookmarkStart w:id="2" w:name="_Hlk503268482"/>
    <w:bookmarkStart w:id="3" w:name="_Hlk503268491"/>
    <w:bookmarkStart w:id="4" w:name="_Hlk503268492"/>
    <w:bookmarkStart w:id="5" w:name="_Hlk503268493"/>
    <w:r>
      <w:rPr>
        <w:noProof/>
      </w:rPr>
      <w:drawing>
        <wp:anchor distT="0" distB="0" distL="114300" distR="114300" simplePos="0" relativeHeight="251659264" behindDoc="0" locked="0" layoutInCell="1" allowOverlap="1" wp14:anchorId="5D12A6DC" wp14:editId="45D9BCC6">
          <wp:simplePos x="0" y="0"/>
          <wp:positionH relativeFrom="margin">
            <wp:posOffset>228600</wp:posOffset>
          </wp:positionH>
          <wp:positionV relativeFrom="paragraph">
            <wp:posOffset>97790</wp:posOffset>
          </wp:positionV>
          <wp:extent cx="559435" cy="655320"/>
          <wp:effectExtent l="0" t="0" r="0" b="0"/>
          <wp:wrapNone/>
          <wp:docPr id="2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F79" w:rsidRPr="004D1819">
      <w:rPr>
        <w:rFonts w:ascii="Arial" w:hAnsi="Arial" w:cs="Arial"/>
        <w:b/>
        <w:sz w:val="28"/>
        <w:szCs w:val="28"/>
      </w:rPr>
      <w:t>TRIBUNAL DE CONTAS DO ESTADO DO PARANÁ</w:t>
    </w:r>
  </w:p>
  <w:bookmarkEnd w:id="0"/>
  <w:bookmarkEnd w:id="1"/>
  <w:bookmarkEnd w:id="2"/>
  <w:bookmarkEnd w:id="3"/>
  <w:bookmarkEnd w:id="4"/>
  <w:bookmarkEnd w:id="5"/>
  <w:p w14:paraId="67835F59" w14:textId="77777777" w:rsidR="00B14F79" w:rsidRPr="00B14F79" w:rsidRDefault="00B14F79" w:rsidP="00B14F79">
    <w:pPr>
      <w:keepLines/>
      <w:spacing w:before="120" w:after="12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3CE5"/>
    <w:multiLevelType w:val="hybridMultilevel"/>
    <w:tmpl w:val="95D46A2C"/>
    <w:lvl w:ilvl="0" w:tplc="0206E5B2">
      <w:start w:val="1"/>
      <w:numFmt w:val="lowerLetter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949D2"/>
    <w:multiLevelType w:val="hybridMultilevel"/>
    <w:tmpl w:val="8A4E3DF6"/>
    <w:lvl w:ilvl="0" w:tplc="A2A41D2A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484EC7"/>
    <w:multiLevelType w:val="hybridMultilevel"/>
    <w:tmpl w:val="430EBE22"/>
    <w:lvl w:ilvl="0" w:tplc="DB526BD4">
      <w:start w:val="1"/>
      <w:numFmt w:val="upperRoman"/>
      <w:lvlText w:val="%1 - 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41D3B"/>
    <w:multiLevelType w:val="hybridMultilevel"/>
    <w:tmpl w:val="50FAE710"/>
    <w:lvl w:ilvl="0" w:tplc="0206E5B2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6040322"/>
    <w:multiLevelType w:val="hybridMultilevel"/>
    <w:tmpl w:val="AFBEB03A"/>
    <w:lvl w:ilvl="0" w:tplc="B638341E">
      <w:start w:val="1"/>
      <w:numFmt w:val="upperRoman"/>
      <w:lvlText w:val="%1 -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F171B2F"/>
    <w:multiLevelType w:val="hybridMultilevel"/>
    <w:tmpl w:val="00C623BC"/>
    <w:lvl w:ilvl="0" w:tplc="CB645DCE">
      <w:start w:val="1"/>
      <w:numFmt w:val="upperRoman"/>
      <w:lvlText w:val="%1 - 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4"/>
        <w:szCs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CD04C7"/>
    <w:multiLevelType w:val="hybridMultilevel"/>
    <w:tmpl w:val="970ADD4E"/>
    <w:lvl w:ilvl="0" w:tplc="3ED4D13C">
      <w:start w:val="1"/>
      <w:numFmt w:val="upperRoman"/>
      <w:lvlText w:val="%1 - 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trike w:val="0"/>
        <w:dstrike w:val="0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BD759A"/>
    <w:multiLevelType w:val="hybridMultilevel"/>
    <w:tmpl w:val="74F8DC7E"/>
    <w:lvl w:ilvl="0" w:tplc="8B141678">
      <w:start w:val="1"/>
      <w:numFmt w:val="upperRoman"/>
      <w:lvlText w:val="%1 - 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B05D04"/>
    <w:multiLevelType w:val="hybridMultilevel"/>
    <w:tmpl w:val="B652FC64"/>
    <w:lvl w:ilvl="0" w:tplc="FCFCEF42">
      <w:start w:val="1"/>
      <w:numFmt w:val="upperRoman"/>
      <w:lvlText w:val="%1 - 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7540C66"/>
    <w:multiLevelType w:val="hybridMultilevel"/>
    <w:tmpl w:val="3450705C"/>
    <w:lvl w:ilvl="0" w:tplc="CB645DCE">
      <w:start w:val="1"/>
      <w:numFmt w:val="upperRoman"/>
      <w:lvlText w:val="%1 - "/>
      <w:lvlJc w:val="left"/>
      <w:pPr>
        <w:tabs>
          <w:tab w:val="num" w:pos="720"/>
        </w:tabs>
        <w:ind w:left="-3" w:firstLine="3"/>
      </w:pPr>
      <w:rPr>
        <w:rFonts w:ascii="Arial" w:hAnsi="Arial"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DB80555"/>
    <w:multiLevelType w:val="hybridMultilevel"/>
    <w:tmpl w:val="B3A07920"/>
    <w:lvl w:ilvl="0" w:tplc="FCFCEF42">
      <w:start w:val="1"/>
      <w:numFmt w:val="upperRoman"/>
      <w:lvlText w:val="%1 - 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E71627"/>
    <w:multiLevelType w:val="hybridMultilevel"/>
    <w:tmpl w:val="AA167C56"/>
    <w:lvl w:ilvl="0" w:tplc="6556F8F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D1B31"/>
    <w:multiLevelType w:val="hybridMultilevel"/>
    <w:tmpl w:val="C8120542"/>
    <w:lvl w:ilvl="0" w:tplc="0206E5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6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num w:numId="1" w16cid:durableId="633798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567646">
    <w:abstractNumId w:val="9"/>
  </w:num>
  <w:num w:numId="3" w16cid:durableId="661810922">
    <w:abstractNumId w:val="8"/>
  </w:num>
  <w:num w:numId="4" w16cid:durableId="1635483085">
    <w:abstractNumId w:val="10"/>
  </w:num>
  <w:num w:numId="5" w16cid:durableId="704529035">
    <w:abstractNumId w:val="7"/>
  </w:num>
  <w:num w:numId="6" w16cid:durableId="1876236780">
    <w:abstractNumId w:val="3"/>
  </w:num>
  <w:num w:numId="7" w16cid:durableId="212238329">
    <w:abstractNumId w:val="0"/>
  </w:num>
  <w:num w:numId="8" w16cid:durableId="334380797">
    <w:abstractNumId w:val="12"/>
  </w:num>
  <w:num w:numId="9" w16cid:durableId="1071780942">
    <w:abstractNumId w:val="6"/>
  </w:num>
  <w:num w:numId="10" w16cid:durableId="2631128">
    <w:abstractNumId w:val="4"/>
  </w:num>
  <w:num w:numId="11" w16cid:durableId="635334024">
    <w:abstractNumId w:val="2"/>
  </w:num>
  <w:num w:numId="12" w16cid:durableId="952441773">
    <w:abstractNumId w:val="5"/>
  </w:num>
  <w:num w:numId="13" w16cid:durableId="20437010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79"/>
    <w:rsid w:val="000537C7"/>
    <w:rsid w:val="0015408B"/>
    <w:rsid w:val="001A42B8"/>
    <w:rsid w:val="001B3EEA"/>
    <w:rsid w:val="002077F0"/>
    <w:rsid w:val="00226DA3"/>
    <w:rsid w:val="003403ED"/>
    <w:rsid w:val="003C536B"/>
    <w:rsid w:val="00415E4C"/>
    <w:rsid w:val="004355DA"/>
    <w:rsid w:val="004617EA"/>
    <w:rsid w:val="004A0254"/>
    <w:rsid w:val="004B3763"/>
    <w:rsid w:val="004F31D1"/>
    <w:rsid w:val="005B0BED"/>
    <w:rsid w:val="005E304B"/>
    <w:rsid w:val="005E4F85"/>
    <w:rsid w:val="00625A3B"/>
    <w:rsid w:val="00655071"/>
    <w:rsid w:val="006A66CE"/>
    <w:rsid w:val="007E14CF"/>
    <w:rsid w:val="00861D1E"/>
    <w:rsid w:val="00871685"/>
    <w:rsid w:val="0087780A"/>
    <w:rsid w:val="008C5414"/>
    <w:rsid w:val="0093658E"/>
    <w:rsid w:val="00942E02"/>
    <w:rsid w:val="00977AAA"/>
    <w:rsid w:val="00A25EA7"/>
    <w:rsid w:val="00B14F79"/>
    <w:rsid w:val="00B540D1"/>
    <w:rsid w:val="00BB32D5"/>
    <w:rsid w:val="00CD217C"/>
    <w:rsid w:val="00D1206D"/>
    <w:rsid w:val="00D23F0D"/>
    <w:rsid w:val="00D7325F"/>
    <w:rsid w:val="00E15C2C"/>
    <w:rsid w:val="00E23377"/>
    <w:rsid w:val="00EF6FC1"/>
    <w:rsid w:val="00FA0CE2"/>
    <w:rsid w:val="00F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8653"/>
  <w15:chartTrackingRefBased/>
  <w15:docId w15:val="{9E7F6DFE-BE79-438D-8F7C-C49A3725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FA0C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tabs>
        <w:tab w:val="center" w:pos="1418"/>
        <w:tab w:val="center" w:pos="4253"/>
        <w:tab w:val="center" w:pos="7088"/>
      </w:tabs>
      <w:spacing w:before="120" w:after="120" w:line="240" w:lineRule="auto"/>
      <w:jc w:val="right"/>
      <w:outlineLvl w:val="6"/>
    </w:pPr>
    <w:rPr>
      <w:rFonts w:ascii="Tahoma" w:eastAsia="Times New Roman" w:hAnsi="Tahoma" w:cs="Tahoma"/>
      <w:sz w:val="72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9"/>
    <w:semiHidden/>
    <w:unhideWhenUsed/>
    <w:qFormat/>
    <w:rsid w:val="00FA0CE2"/>
    <w:pPr>
      <w:keepNext/>
      <w:spacing w:after="0" w:line="360" w:lineRule="auto"/>
      <w:ind w:left="6373"/>
      <w:jc w:val="both"/>
      <w:outlineLvl w:val="8"/>
    </w:pPr>
    <w:rPr>
      <w:rFonts w:ascii="Tahoma" w:eastAsia="Times New Roman" w:hAnsi="Tahoma" w:cs="Tahoma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4F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4F7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14F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4F79"/>
    <w:rPr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FA0CE2"/>
    <w:rPr>
      <w:rFonts w:ascii="Tahoma" w:eastAsia="Times New Roman" w:hAnsi="Tahoma" w:cs="Tahoma"/>
      <w:sz w:val="72"/>
      <w:shd w:val="pct5" w:color="auto" w:fill="auto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FA0CE2"/>
    <w:rPr>
      <w:rFonts w:ascii="Tahoma" w:eastAsia="Times New Roman" w:hAnsi="Tahoma" w:cs="Tahoma"/>
      <w:b/>
      <w:bCs/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0C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0CE2"/>
    <w:rPr>
      <w:lang w:eastAsia="en-US"/>
    </w:rPr>
  </w:style>
  <w:style w:type="character" w:styleId="Refdenotaderodap">
    <w:name w:val="footnote reference"/>
    <w:uiPriority w:val="99"/>
    <w:semiHidden/>
    <w:unhideWhenUsed/>
    <w:rsid w:val="00FA0CE2"/>
    <w:rPr>
      <w:vertAlign w:val="superscript"/>
    </w:rPr>
  </w:style>
  <w:style w:type="paragraph" w:customStyle="1" w:styleId="Default">
    <w:name w:val="Default"/>
    <w:uiPriority w:val="99"/>
    <w:rsid w:val="00FA0C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FA0CE2"/>
    <w:rPr>
      <w:color w:val="0000FF"/>
      <w:u w:val="single"/>
    </w:rPr>
  </w:style>
  <w:style w:type="paragraph" w:customStyle="1" w:styleId="c-1">
    <w:name w:val="c-1"/>
    <w:basedOn w:val="Normal"/>
    <w:uiPriority w:val="99"/>
    <w:rsid w:val="00FA0CE2"/>
    <w:pPr>
      <w:spacing w:before="120" w:after="120" w:line="360" w:lineRule="auto"/>
      <w:jc w:val="both"/>
    </w:pPr>
    <w:rPr>
      <w:rFonts w:ascii="Tahoma" w:eastAsia="Times New Roman" w:hAnsi="Tahoma"/>
      <w:szCs w:val="20"/>
      <w:lang w:eastAsia="pt-BR"/>
    </w:rPr>
  </w:style>
  <w:style w:type="paragraph" w:customStyle="1" w:styleId="m-3">
    <w:name w:val="m-3"/>
    <w:basedOn w:val="Normal"/>
    <w:uiPriority w:val="99"/>
    <w:rsid w:val="00FA0CE2"/>
    <w:pPr>
      <w:numPr>
        <w:numId w:val="1"/>
      </w:numPr>
      <w:spacing w:before="120" w:after="120" w:line="360" w:lineRule="auto"/>
      <w:jc w:val="both"/>
    </w:pPr>
    <w:rPr>
      <w:rFonts w:ascii="Tahoma" w:eastAsia="Times New Roman" w:hAnsi="Tahoma"/>
      <w:szCs w:val="20"/>
      <w:lang w:eastAsia="pt-BR"/>
    </w:rPr>
  </w:style>
  <w:style w:type="paragraph" w:styleId="Corpodetexto">
    <w:name w:val="Body Text"/>
    <w:basedOn w:val="Default"/>
    <w:next w:val="Default"/>
    <w:link w:val="CorpodetextoChar"/>
    <w:uiPriority w:val="99"/>
    <w:semiHidden/>
    <w:unhideWhenUsed/>
    <w:rsid w:val="00FA0CE2"/>
    <w:rPr>
      <w:rFonts w:ascii="TimesNewRomanPS-BoldMT" w:eastAsia="Times New Roman" w:hAnsi="TimesNewRomanPS-BoldMT" w:cs="Times New Roman"/>
      <w:color w:val="auto"/>
      <w:sz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A0CE2"/>
    <w:rPr>
      <w:rFonts w:ascii="TimesNewRomanPS-BoldMT" w:eastAsia="Times New Roman" w:hAnsi="TimesNewRomanPS-BoldMT"/>
      <w:szCs w:val="24"/>
    </w:rPr>
  </w:style>
  <w:style w:type="paragraph" w:styleId="PargrafodaLista">
    <w:name w:val="List Paragraph"/>
    <w:basedOn w:val="Normal"/>
    <w:uiPriority w:val="34"/>
    <w:qFormat/>
    <w:rsid w:val="00FA0CE2"/>
    <w:pPr>
      <w:spacing w:after="200" w:line="276" w:lineRule="auto"/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A0CE2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4355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355DA"/>
    <w:rPr>
      <w:rFonts w:ascii="Times New Roman" w:eastAsia="Times New Roman" w:hAnsi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1B3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provimento-n%C2%BA-17-89antigo-01-89-normas-para-encaminhamento-dos-atos-de-admis/1356/area/249" TargetMode="External"/><Relationship Id="rId13" Type="http://schemas.openxmlformats.org/officeDocument/2006/relationships/hyperlink" Target="https://www1.tce.pr.gov.br/conteudo/instrucao-tecnica-n%C2%BA-43-2005/1240/area/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prdce@tce.pr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provimento-n%C2%BA-47-2002antigo-01-2002-dispoe-sobre-as-atividades-inerentes-a-p/1331/area/2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1.tce.pr.gov.br/conteudo/instrucao-tecnica-n%C2%BA-43-2005/1240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provimento-n%C2%BA-18-89antigo-02-89-encaminhamento-para-apreciacao-registro-e-v/1357/area/249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provimento-n&#186;-17-89antigo-01-89-normas-para-encaminhamento-dos-atos-de-admis/1356/area/249" TargetMode="External"/><Relationship Id="rId7" Type="http://schemas.openxmlformats.org/officeDocument/2006/relationships/hyperlink" Target="https://www1.tce.pr.gov.br/conteudo/provimento-n%C2%BA-47-2002antigo-01-2002-dispoe-sobre-as-atividades-inerentes-a-p/1331/area/249" TargetMode="External"/><Relationship Id="rId2" Type="http://schemas.openxmlformats.org/officeDocument/2006/relationships/hyperlink" Target="https://www1.tce.pr.gov.br/multimidia/2006/12/pdf/00049122.pdf" TargetMode="External"/><Relationship Id="rId1" Type="http://schemas.openxmlformats.org/officeDocument/2006/relationships/hyperlink" Target="http://www1.tce.pr.gov.br/multimidia/2006/12/pdf/00000527.pdf" TargetMode="External"/><Relationship Id="rId6" Type="http://schemas.openxmlformats.org/officeDocument/2006/relationships/hyperlink" Target="https://www1.tce.pr.gov.br/conteudo/instrucao-normativa-n-71-de-16-de-agosto-de-2012/237402/area/249" TargetMode="External"/><Relationship Id="rId5" Type="http://schemas.openxmlformats.org/officeDocument/2006/relationships/hyperlink" Target="http://www1.tce.pr.gov.br/conteudo/instrucao-tecnica-n&#186;-43-2005/1240/area/249" TargetMode="External"/><Relationship Id="rId4" Type="http://schemas.openxmlformats.org/officeDocument/2006/relationships/hyperlink" Target="http://www1.tce.pr.gov.br/conteudo/provimento-n&#186;-17-89antigo-01-89-normas-para-encaminhamento-dos-atos-de-admis/1356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FADDC-45DF-4630-BAC0-3C487E5E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1698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Fonseca</cp:lastModifiedBy>
  <cp:revision>27</cp:revision>
  <dcterms:created xsi:type="dcterms:W3CDTF">2019-10-03T14:42:00Z</dcterms:created>
  <dcterms:modified xsi:type="dcterms:W3CDTF">2022-07-12T17:25:00Z</dcterms:modified>
</cp:coreProperties>
</file>