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2C" w:rsidRDefault="001F1B2C" w:rsidP="001F1B2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sz w:val="28"/>
          <w:szCs w:val="28"/>
        </w:rPr>
        <w:t>62</w:t>
      </w:r>
      <w:r w:rsidRPr="000A1B86">
        <w:rPr>
          <w:rFonts w:cs="Arial"/>
          <w:b/>
          <w:sz w:val="28"/>
          <w:szCs w:val="28"/>
        </w:rPr>
        <w:t>/</w:t>
      </w:r>
      <w:r w:rsidR="0070577F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13</w:t>
      </w:r>
      <w:r w:rsidR="0013087A" w:rsidRPr="0013087A">
        <w:rPr>
          <w:rStyle w:val="Refdenotaderodap"/>
          <w:rFonts w:cs="Arial"/>
          <w:b/>
          <w:sz w:val="28"/>
          <w:szCs w:val="28"/>
        </w:rPr>
        <w:footnoteReference w:customMarkFollows="1" w:id="1"/>
        <w:sym w:font="Symbol" w:char="F02A"/>
      </w:r>
    </w:p>
    <w:p w:rsidR="00202A05" w:rsidRPr="00202A05" w:rsidRDefault="00FA717C" w:rsidP="001F1B2C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color w:val="0000FF"/>
          <w:sz w:val="28"/>
          <w:szCs w:val="28"/>
        </w:rPr>
      </w:pPr>
      <w:r>
        <w:rPr>
          <w:rFonts w:cs="Arial"/>
          <w:b/>
          <w:bCs/>
          <w:color w:val="0000FF"/>
          <w:sz w:val="28"/>
          <w:szCs w:val="28"/>
        </w:rPr>
        <w:t>CONSOLIDADA</w:t>
      </w:r>
    </w:p>
    <w:p w:rsidR="001F1B2C" w:rsidRPr="0013087A" w:rsidRDefault="001F1B2C" w:rsidP="001F1B2C">
      <w:pPr>
        <w:pStyle w:val="Ementa"/>
        <w:spacing w:before="360" w:after="360"/>
        <w:ind w:left="4536"/>
        <w:rPr>
          <w:i/>
          <w:sz w:val="22"/>
          <w:szCs w:val="22"/>
        </w:rPr>
      </w:pPr>
      <w:r w:rsidRPr="0013087A">
        <w:rPr>
          <w:i/>
          <w:sz w:val="22"/>
          <w:szCs w:val="22"/>
        </w:rPr>
        <w:t>Dispõe sobre a tramitação das Comunicações oriundas dos órgãos da Justiça do Trabalho e dá outras providências.</w:t>
      </w:r>
    </w:p>
    <w:p w:rsidR="001F1B2C" w:rsidRPr="00110EC6" w:rsidRDefault="001F1B2C" w:rsidP="001F1B2C">
      <w:pPr>
        <w:spacing w:before="240" w:after="120"/>
        <w:ind w:firstLine="1134"/>
        <w:jc w:val="both"/>
        <w:rPr>
          <w:rFonts w:ascii="Arial" w:hAnsi="Arial" w:cs="Arial"/>
        </w:rPr>
      </w:pPr>
      <w:r w:rsidRPr="00110EC6">
        <w:rPr>
          <w:rFonts w:ascii="Arial" w:hAnsi="Arial" w:cs="Arial"/>
          <w:b/>
        </w:rPr>
        <w:t>O PRESIDENTE DO TRIBUNAL DE CONTAS DO ESTADO DO PARANÁ</w:t>
      </w:r>
      <w:r w:rsidRPr="00110EC6">
        <w:rPr>
          <w:rFonts w:ascii="Arial" w:hAnsi="Arial" w:cs="Arial"/>
        </w:rPr>
        <w:t>, no uso das atribuições contidas no art. 122, I, da Lei Complementar nº 113, de 15 de dezembro de 2005, e no art. 16, XXXIII, c/c o art. 197, do Regimento Interno,</w:t>
      </w:r>
      <w:r w:rsidRPr="00110EC6">
        <w:t xml:space="preserve"> </w:t>
      </w:r>
      <w:r w:rsidRPr="00110EC6">
        <w:rPr>
          <w:rFonts w:ascii="Arial" w:hAnsi="Arial" w:cs="Arial"/>
        </w:rPr>
        <w:t>e com base no art. 4º, da Instrução Normativa nº 82/2012,</w:t>
      </w:r>
    </w:p>
    <w:p w:rsidR="001F1B2C" w:rsidRPr="00110EC6" w:rsidRDefault="001F1B2C" w:rsidP="001F1B2C">
      <w:pPr>
        <w:pStyle w:val="Texto"/>
        <w:spacing w:before="360" w:after="240"/>
        <w:ind w:firstLine="1134"/>
        <w:rPr>
          <w:b/>
          <w:bCs/>
        </w:rPr>
      </w:pPr>
      <w:r w:rsidRPr="00110EC6">
        <w:rPr>
          <w:b/>
          <w:bCs/>
        </w:rPr>
        <w:t>RESOLVE</w:t>
      </w:r>
    </w:p>
    <w:p w:rsidR="001F1B2C" w:rsidRPr="00110EC6" w:rsidRDefault="001F1B2C" w:rsidP="001F1B2C">
      <w:pPr>
        <w:pStyle w:val="ArtigosOrdinais"/>
        <w:ind w:firstLine="1134"/>
      </w:pPr>
      <w:r w:rsidRPr="00110EC6">
        <w:rPr>
          <w:b/>
        </w:rPr>
        <w:t xml:space="preserve">Art. 1º </w:t>
      </w:r>
      <w:r w:rsidRPr="00110EC6">
        <w:t>Esta Instrução de Serviço disciplina a tramitação das Comunicações procedentes da Justiça do Trabalho, exceto as Representações.</w:t>
      </w:r>
    </w:p>
    <w:p w:rsidR="00202A05" w:rsidRPr="00202A05" w:rsidRDefault="001F1B2C" w:rsidP="00202A05">
      <w:pPr>
        <w:pStyle w:val="ArtigosOrdinais"/>
        <w:ind w:firstLine="1134"/>
        <w:rPr>
          <w:strike/>
        </w:rPr>
      </w:pPr>
      <w:r w:rsidRPr="00202A05">
        <w:rPr>
          <w:b/>
          <w:strike/>
        </w:rPr>
        <w:t xml:space="preserve">Art. 2º </w:t>
      </w:r>
      <w:r w:rsidRPr="00202A05">
        <w:rPr>
          <w:strike/>
        </w:rPr>
        <w:t xml:space="preserve">Com a finalidade de dar maior agilidade e efetividade à atuação do controle externo do Tribunal de Contas, as Comunicações da Justiça do Trabalho serão autuadas como Requerimento Externo, </w:t>
      </w:r>
      <w:proofErr w:type="spellStart"/>
      <w:r w:rsidRPr="00202A05">
        <w:rPr>
          <w:strike/>
        </w:rPr>
        <w:t>subassunto</w:t>
      </w:r>
      <w:proofErr w:type="spellEnd"/>
      <w:r w:rsidRPr="00202A05">
        <w:rPr>
          <w:strike/>
        </w:rPr>
        <w:t xml:space="preserve"> Comunicação da Justiça do Trabalho, e enviadas diretamente à unidade administrativa competente, para o apensamento à Prestação de Contas Anual da entidade, referente ao exercício financeiro, observando-se o disposto no § 1º, do art. 364, do Regimento Interno.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202A05">
        <w:rPr>
          <w:rFonts w:ascii="Arial" w:hAnsi="Arial" w:cs="Arial"/>
          <w:b/>
        </w:rPr>
        <w:t>Art. 2º</w:t>
      </w:r>
      <w:r w:rsidRPr="000F0752">
        <w:rPr>
          <w:rFonts w:ascii="Arial" w:hAnsi="Arial" w:cs="Arial"/>
        </w:rPr>
        <w:t xml:space="preserve"> Com a finalidade de dar maior agilidade e efetividade à atuação do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controle externo do Tribunal de Contas, as Comunicações da Justiça do Trabalho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 xml:space="preserve">serão autuadas como Requerimento Externo, </w:t>
      </w:r>
      <w:proofErr w:type="spellStart"/>
      <w:r w:rsidRPr="000F0752">
        <w:rPr>
          <w:rFonts w:ascii="Arial" w:hAnsi="Arial" w:cs="Arial"/>
        </w:rPr>
        <w:t>subassunto</w:t>
      </w:r>
      <w:proofErr w:type="spellEnd"/>
      <w:r w:rsidRPr="000F0752">
        <w:rPr>
          <w:rFonts w:ascii="Arial" w:hAnsi="Arial" w:cs="Arial"/>
        </w:rPr>
        <w:t xml:space="preserve"> Comunicação da Justiça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do Trabalho, e enviadas ao Gabinete da Presidência, para ciência, e após à unidade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administrativa competente para a instrução.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 xml:space="preserve">(Redação dada pela </w:t>
      </w:r>
      <w:hyperlink r:id="rId8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AC0CB3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t>§ 1º A unidade administrativa realizará a análise do Requerimento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Externo, procedendo à instrução fundamentada, com as seguintes recomendações: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41668C">
        <w:rPr>
          <w:rFonts w:ascii="Arial" w:hAnsi="Arial" w:cs="Arial"/>
          <w:color w:val="0000FF"/>
        </w:rPr>
        <w:t>Incluído</w:t>
      </w:r>
      <w:r w:rsidR="0041668C" w:rsidRPr="00202A05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 xml:space="preserve">pela </w:t>
      </w:r>
      <w:hyperlink r:id="rId9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AC0CB3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t>I – arquivamento do Requerimento Externo, quando ausentes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irregularidades em atos sujeitos ao controle externo do Tribunal;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41668C">
        <w:rPr>
          <w:rFonts w:ascii="Arial" w:hAnsi="Arial" w:cs="Arial"/>
          <w:color w:val="0000FF"/>
        </w:rPr>
        <w:t>Incluído</w:t>
      </w:r>
      <w:r w:rsidRPr="00202A05">
        <w:rPr>
          <w:rFonts w:ascii="Arial" w:hAnsi="Arial" w:cs="Arial"/>
          <w:color w:val="0000FF"/>
        </w:rPr>
        <w:t xml:space="preserve"> pela </w:t>
      </w:r>
      <w:hyperlink r:id="rId10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AC0CB3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 w:rsidRPr="000F0752">
        <w:rPr>
          <w:rFonts w:ascii="Arial" w:hAnsi="Arial" w:cs="Arial"/>
        </w:rPr>
        <w:lastRenderedPageBreak/>
        <w:t xml:space="preserve">II – </w:t>
      </w:r>
      <w:proofErr w:type="gramStart"/>
      <w:r w:rsidRPr="000F0752">
        <w:rPr>
          <w:rFonts w:ascii="Arial" w:hAnsi="Arial" w:cs="Arial"/>
        </w:rPr>
        <w:t>adoção</w:t>
      </w:r>
      <w:proofErr w:type="gramEnd"/>
      <w:r w:rsidRPr="000F0752">
        <w:rPr>
          <w:rFonts w:ascii="Arial" w:hAnsi="Arial" w:cs="Arial"/>
        </w:rPr>
        <w:t xml:space="preserve"> das medidas cabíveis, nos termos do Regimento Interno 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demais atos normativos do Tribunal, quando configurados indícios de irregularidades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em atos sujeitos ao controle externo do Tribunal.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41668C">
        <w:rPr>
          <w:rFonts w:ascii="Arial" w:hAnsi="Arial" w:cs="Arial"/>
          <w:color w:val="0000FF"/>
        </w:rPr>
        <w:t>Incluído</w:t>
      </w:r>
      <w:r w:rsidR="0041668C" w:rsidRPr="00202A05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 xml:space="preserve">pela </w:t>
      </w:r>
      <w:hyperlink r:id="rId11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AC0CB3">
          <w:rPr>
            <w:rStyle w:val="Hyperlink"/>
            <w:rFonts w:ascii="Arial" w:hAnsi="Arial" w:cs="Arial"/>
            <w:color w:val="0000FF"/>
          </w:rPr>
          <w:t>/</w:t>
        </w:r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202A05" w:rsidRPr="00202A05" w:rsidRDefault="00202A05" w:rsidP="00202A05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§ 2º Após a i</w:t>
      </w:r>
      <w:r w:rsidRPr="000F0752">
        <w:rPr>
          <w:rFonts w:ascii="Arial" w:hAnsi="Arial" w:cs="Arial"/>
        </w:rPr>
        <w:t>nstruçã</w:t>
      </w:r>
      <w:r>
        <w:rPr>
          <w:rFonts w:ascii="Arial" w:hAnsi="Arial" w:cs="Arial"/>
        </w:rPr>
        <w:t xml:space="preserve">o da unidade, conforme o § 1º, </w:t>
      </w:r>
      <w:r w:rsidRPr="000F0752">
        <w:rPr>
          <w:rFonts w:ascii="Arial" w:hAnsi="Arial" w:cs="Arial"/>
        </w:rPr>
        <w:t>os autos serão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encaminhados ao Gabinete da Corregedoria para tomar ciência e, caso julgue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necessário, adotar as providências cabíve</w:t>
      </w:r>
      <w:r>
        <w:rPr>
          <w:rFonts w:ascii="Arial" w:hAnsi="Arial" w:cs="Arial"/>
        </w:rPr>
        <w:t>is no âmbito de sua competência</w:t>
      </w:r>
      <w:r w:rsidRPr="000F07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02A05">
        <w:rPr>
          <w:rFonts w:ascii="Arial" w:hAnsi="Arial" w:cs="Arial"/>
          <w:color w:val="0000FF"/>
        </w:rPr>
        <w:t>(</w:t>
      </w:r>
      <w:r w:rsidR="0041668C">
        <w:rPr>
          <w:rFonts w:ascii="Arial" w:hAnsi="Arial" w:cs="Arial"/>
          <w:color w:val="0000FF"/>
        </w:rPr>
        <w:t>Incluído</w:t>
      </w:r>
      <w:r w:rsidR="0041668C" w:rsidRPr="00202A05">
        <w:rPr>
          <w:rFonts w:ascii="Arial" w:hAnsi="Arial" w:cs="Arial"/>
          <w:color w:val="0000FF"/>
        </w:rPr>
        <w:t xml:space="preserve"> </w:t>
      </w:r>
      <w:r w:rsidRPr="00202A05">
        <w:rPr>
          <w:rFonts w:ascii="Arial" w:hAnsi="Arial" w:cs="Arial"/>
          <w:color w:val="0000FF"/>
        </w:rPr>
        <w:t xml:space="preserve">pela </w:t>
      </w:r>
      <w:hyperlink r:id="rId12" w:history="1">
        <w:r w:rsidRPr="00202A05">
          <w:rPr>
            <w:rStyle w:val="Hyperlink"/>
            <w:rFonts w:ascii="Arial" w:hAnsi="Arial" w:cs="Arial"/>
            <w:color w:val="0000FF"/>
          </w:rPr>
          <w:t>Instrução de Serviço n. 89</w:t>
        </w:r>
        <w:r w:rsidR="00AC0CB3">
          <w:rPr>
            <w:rStyle w:val="Hyperlink"/>
            <w:rFonts w:ascii="Arial" w:hAnsi="Arial" w:cs="Arial"/>
            <w:color w:val="0000FF"/>
          </w:rPr>
          <w:t>/</w:t>
        </w:r>
        <w:bookmarkStart w:id="3" w:name="_GoBack"/>
        <w:bookmarkEnd w:id="3"/>
        <w:r w:rsidRPr="00202A05">
          <w:rPr>
            <w:rStyle w:val="Hyperlink"/>
            <w:rFonts w:ascii="Arial" w:hAnsi="Arial" w:cs="Arial"/>
            <w:color w:val="0000FF"/>
          </w:rPr>
          <w:t>2014</w:t>
        </w:r>
      </w:hyperlink>
      <w:r w:rsidRPr="00202A05">
        <w:rPr>
          <w:rFonts w:ascii="Arial" w:hAnsi="Arial" w:cs="Arial"/>
          <w:color w:val="0000FF"/>
        </w:rPr>
        <w:t>)</w:t>
      </w:r>
    </w:p>
    <w:p w:rsidR="001F1B2C" w:rsidRPr="00110EC6" w:rsidRDefault="001F1B2C" w:rsidP="00202A05">
      <w:pPr>
        <w:pStyle w:val="ArtigosOrdinais"/>
        <w:ind w:firstLine="1134"/>
        <w:rPr>
          <w:color w:val="FF0000"/>
        </w:rPr>
      </w:pPr>
      <w:r w:rsidRPr="00110EC6">
        <w:rPr>
          <w:b/>
        </w:rPr>
        <w:t xml:space="preserve">Art. </w:t>
      </w:r>
      <w:r>
        <w:rPr>
          <w:b/>
        </w:rPr>
        <w:t>3</w:t>
      </w:r>
      <w:r w:rsidRPr="00110EC6">
        <w:rPr>
          <w:b/>
        </w:rPr>
        <w:t xml:space="preserve">º </w:t>
      </w:r>
      <w:r w:rsidRPr="00110EC6">
        <w:t xml:space="preserve">Fica incluído nos Anexos IV e VIII, da Instrução Normativa nº 82/2012, o </w:t>
      </w:r>
      <w:proofErr w:type="spellStart"/>
      <w:r w:rsidRPr="00110EC6">
        <w:t>subassunto</w:t>
      </w:r>
      <w:proofErr w:type="spellEnd"/>
      <w:r w:rsidRPr="00110EC6">
        <w:t xml:space="preserve"> Comunicação da Justiça do Trabalho</w:t>
      </w:r>
      <w:r>
        <w:t>,</w:t>
      </w:r>
      <w:r w:rsidRPr="00110EC6">
        <w:t xml:space="preserve"> no assunto de Requerimento Externo, conforme quadros abaixo.</w:t>
      </w: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r w:rsidRPr="00110EC6">
        <w:rPr>
          <w:rFonts w:ascii="Arial" w:hAnsi="Arial" w:cs="Arial"/>
          <w:b/>
        </w:rPr>
        <w:t>ANEXO IV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jc w:val="center"/>
        <w:rPr>
          <w:color w:val="FF0000"/>
        </w:rPr>
      </w:pPr>
      <w:r w:rsidRPr="00110EC6">
        <w:rPr>
          <w:rFonts w:cs="Arial"/>
          <w:b/>
        </w:rPr>
        <w:t>TABELA DE ASSUNTOS DE REQUERIMENTOS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95"/>
        <w:gridCol w:w="5141"/>
      </w:tblGrid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SUBASSUNTO</w:t>
            </w:r>
          </w:p>
        </w:tc>
      </w:tr>
      <w:tr w:rsidR="001F1B2C" w:rsidRPr="005A73D9" w:rsidTr="00353575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5A73D9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35357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  <w:bCs/>
              </w:rPr>
              <w:t>REQUERIMENTO EXTERNO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B2C" w:rsidRPr="005A73D9" w:rsidRDefault="001F1B2C" w:rsidP="001F1B2C">
            <w:pPr>
              <w:numPr>
                <w:ilvl w:val="0"/>
                <w:numId w:val="3"/>
              </w:numPr>
              <w:autoSpaceDN w:val="0"/>
              <w:spacing w:before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5A73D9">
              <w:rPr>
                <w:rFonts w:ascii="Arial" w:hAnsi="Arial" w:cs="Arial"/>
              </w:rPr>
              <w:t>COMUNICAÇÃO DA JUSTIÇA DO TRABALHO</w:t>
            </w:r>
          </w:p>
        </w:tc>
      </w:tr>
    </w:tbl>
    <w:p w:rsidR="0013087A" w:rsidRDefault="0013087A" w:rsidP="001F1B2C">
      <w:pPr>
        <w:spacing w:before="240" w:after="120"/>
        <w:jc w:val="center"/>
        <w:rPr>
          <w:rFonts w:ascii="Arial" w:hAnsi="Arial" w:cs="Arial"/>
          <w:b/>
        </w:rPr>
      </w:pPr>
    </w:p>
    <w:p w:rsidR="001F1B2C" w:rsidRPr="00110EC6" w:rsidRDefault="001F1B2C" w:rsidP="001F1B2C">
      <w:pPr>
        <w:spacing w:before="240" w:after="120"/>
        <w:jc w:val="center"/>
        <w:rPr>
          <w:rFonts w:ascii="Arial" w:hAnsi="Arial" w:cs="Arial"/>
          <w:b/>
        </w:rPr>
      </w:pPr>
      <w:r w:rsidRPr="00110EC6">
        <w:rPr>
          <w:rFonts w:ascii="Arial" w:hAnsi="Arial" w:cs="Arial"/>
          <w:b/>
        </w:rPr>
        <w:t>ANEXO VIII</w:t>
      </w:r>
    </w:p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color w:val="FF0000"/>
        </w:rPr>
      </w:pPr>
      <w:r w:rsidRPr="00110EC6">
        <w:rPr>
          <w:rFonts w:cs="Arial"/>
          <w:b/>
        </w:rPr>
        <w:t>QUADRO DE CONCEITOS DOS REQUERIMENTOS EXTERNOS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ind w:left="567" w:hanging="567"/>
        <w:rPr>
          <w:b w:val="0"/>
        </w:rPr>
      </w:pPr>
      <w:r w:rsidRPr="00813ACA">
        <w:rPr>
          <w:b w:val="0"/>
        </w:rPr>
        <w:t>REQUERIMENTO EXTERNO</w:t>
      </w:r>
    </w:p>
    <w:p w:rsidR="001F1B2C" w:rsidRPr="00813ACA" w:rsidRDefault="001F1B2C" w:rsidP="001F1B2C">
      <w:pPr>
        <w:pStyle w:val="Assunto"/>
        <w:numPr>
          <w:ilvl w:val="0"/>
          <w:numId w:val="0"/>
        </w:numPr>
        <w:spacing w:before="0"/>
        <w:ind w:left="539" w:hanging="567"/>
        <w:rPr>
          <w:b w:val="0"/>
        </w:rPr>
      </w:pPr>
      <w:proofErr w:type="spellStart"/>
      <w:r w:rsidRPr="00813ACA">
        <w:rPr>
          <w:b w:val="0"/>
        </w:rPr>
        <w:t>Subassunto</w:t>
      </w:r>
      <w:proofErr w:type="spellEnd"/>
      <w:r w:rsidRPr="00813ACA">
        <w:rPr>
          <w:b w:val="0"/>
        </w:rPr>
        <w:t>: Comunicação da Justiça do Trabalho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4"/>
      </w:tblGrid>
      <w:tr w:rsidR="001F1B2C" w:rsidRPr="00813ACA" w:rsidTr="00353575">
        <w:tc>
          <w:tcPr>
            <w:tcW w:w="9072" w:type="dxa"/>
          </w:tcPr>
          <w:p w:rsidR="001F1B2C" w:rsidRPr="00813ACA" w:rsidRDefault="001F1B2C" w:rsidP="00353575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813ACA">
              <w:rPr>
                <w:rFonts w:ascii="Arial" w:hAnsi="Arial" w:cs="Arial"/>
                <w:b/>
                <w:color w:val="000000"/>
              </w:rPr>
              <w:t xml:space="preserve">Conceito: </w:t>
            </w:r>
            <w:r w:rsidRPr="00813ACA">
              <w:rPr>
                <w:rFonts w:ascii="Arial" w:hAnsi="Arial" w:cs="Arial"/>
                <w:color w:val="000000"/>
              </w:rPr>
              <w:t xml:space="preserve">expediente instaurado por </w:t>
            </w:r>
            <w:r w:rsidRPr="00813ACA">
              <w:rPr>
                <w:rFonts w:ascii="Arial" w:hAnsi="Arial" w:cs="Arial"/>
              </w:rPr>
              <w:t xml:space="preserve">órgãos da Justiça do Trabalho, </w:t>
            </w:r>
            <w:r w:rsidRPr="00813ACA">
              <w:rPr>
                <w:rFonts w:ascii="Arial" w:hAnsi="Arial" w:cs="Arial"/>
                <w:color w:val="000000"/>
              </w:rPr>
              <w:t>para fins de comunicações ao Tribunal de Contas, exceto as Representações.</w:t>
            </w:r>
          </w:p>
          <w:p w:rsidR="001F1B2C" w:rsidRPr="00813ACA" w:rsidRDefault="001F1B2C" w:rsidP="00353575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</w:rPr>
            </w:pPr>
            <w:r w:rsidRPr="00813ACA">
              <w:rPr>
                <w:rFonts w:ascii="Arial" w:hAnsi="Arial" w:cs="Arial"/>
                <w:b/>
              </w:rPr>
              <w:t xml:space="preserve">Iniciativa da instauração do requerimento: </w:t>
            </w:r>
            <w:r w:rsidRPr="00813ACA">
              <w:rPr>
                <w:rFonts w:ascii="Arial" w:hAnsi="Arial" w:cs="Arial"/>
                <w:color w:val="000000"/>
              </w:rPr>
              <w:t>autoridades e órgãos da Justiça do Trabalho.</w:t>
            </w:r>
          </w:p>
        </w:tc>
      </w:tr>
    </w:tbl>
    <w:p w:rsidR="001F1B2C" w:rsidRPr="00110EC6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color w:val="FF0000"/>
        </w:rPr>
      </w:pPr>
      <w:r w:rsidRPr="00110EC6">
        <w:rPr>
          <w:color w:val="FF0000"/>
        </w:rPr>
        <w:t xml:space="preserve"> 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110EC6">
        <w:rPr>
          <w:b/>
        </w:rPr>
        <w:t xml:space="preserve">Art. </w:t>
      </w:r>
      <w:r>
        <w:rPr>
          <w:b/>
        </w:rPr>
        <w:t>4</w:t>
      </w:r>
      <w:r w:rsidRPr="00110EC6">
        <w:rPr>
          <w:b/>
        </w:rPr>
        <w:t xml:space="preserve">º </w:t>
      </w:r>
      <w:r w:rsidRPr="00110EC6">
        <w:t xml:space="preserve">Esta Instrução </w:t>
      </w:r>
      <w:r>
        <w:t>de Serviço</w:t>
      </w:r>
      <w:r w:rsidRPr="00110EC6">
        <w:t xml:space="preserve"> entra em vigor na data de sua publicação.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Curitiba, </w:t>
      </w:r>
      <w:r>
        <w:rPr>
          <w:rFonts w:cs="Arial"/>
          <w:color w:val="000000"/>
        </w:rPr>
        <w:t>13 de dezembro de 2013.</w:t>
      </w:r>
    </w:p>
    <w:p w:rsidR="001F1B2C" w:rsidRDefault="001F1B2C" w:rsidP="001F1B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</w:rPr>
      </w:pPr>
      <w:r w:rsidRPr="006A4ED3">
        <w:rPr>
          <w:rFonts w:cs="Arial"/>
          <w:color w:val="000000"/>
        </w:rPr>
        <w:t xml:space="preserve">Conselheiro </w:t>
      </w:r>
      <w:r w:rsidRPr="009E44B6">
        <w:rPr>
          <w:rFonts w:cs="Arial"/>
          <w:b/>
          <w:color w:val="000000"/>
        </w:rPr>
        <w:t>ARTAGÃO DE MATTOS LEÃO</w:t>
      </w:r>
    </w:p>
    <w:p w:rsidR="005719C2" w:rsidRPr="001F1B2C" w:rsidRDefault="001F1B2C" w:rsidP="001F1B2C">
      <w:pPr>
        <w:spacing w:before="120"/>
        <w:ind w:left="425" w:firstLine="709"/>
        <w:rPr>
          <w:rFonts w:ascii="Arial" w:hAnsi="Arial" w:cs="Arial"/>
        </w:rPr>
      </w:pPr>
      <w:r w:rsidRPr="001F1B2C">
        <w:rPr>
          <w:rFonts w:ascii="Arial" w:hAnsi="Arial" w:cs="Arial"/>
          <w:color w:val="000000"/>
        </w:rPr>
        <w:t>Presidente</w:t>
      </w:r>
    </w:p>
    <w:sectPr w:rsidR="005719C2" w:rsidRPr="001F1B2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FB" w:rsidRDefault="00F718FB" w:rsidP="00F718FB">
      <w:r>
        <w:separator/>
      </w:r>
    </w:p>
  </w:endnote>
  <w:endnote w:type="continuationSeparator" w:id="0">
    <w:p w:rsidR="00F718FB" w:rsidRDefault="00F718FB" w:rsidP="00F7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493558"/>
      <w:docPartObj>
        <w:docPartGallery w:val="Page Numbers (Bottom of Page)"/>
        <w:docPartUnique/>
      </w:docPartObj>
    </w:sdtPr>
    <w:sdtEndPr/>
    <w:sdtContent>
      <w:p w:rsidR="00AB5C73" w:rsidRDefault="00AB5C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7F">
          <w:rPr>
            <w:noProof/>
          </w:rPr>
          <w:t>1</w:t>
        </w:r>
        <w:r>
          <w:fldChar w:fldCharType="end"/>
        </w:r>
      </w:p>
    </w:sdtContent>
  </w:sdt>
  <w:p w:rsidR="00AB5C73" w:rsidRDefault="00AB5C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FB" w:rsidRDefault="00F718FB" w:rsidP="00F718FB">
      <w:r>
        <w:separator/>
      </w:r>
    </w:p>
  </w:footnote>
  <w:footnote w:type="continuationSeparator" w:id="0">
    <w:p w:rsidR="00F718FB" w:rsidRDefault="00F718FB" w:rsidP="00F718FB">
      <w:r>
        <w:continuationSeparator/>
      </w:r>
    </w:p>
  </w:footnote>
  <w:footnote w:id="1">
    <w:p w:rsidR="0013087A" w:rsidRPr="001F7238" w:rsidRDefault="0013087A" w:rsidP="0013087A">
      <w:pPr>
        <w:pStyle w:val="Textodenotaderodap"/>
        <w:rPr>
          <w:rFonts w:ascii="Arial" w:hAnsi="Arial" w:cs="Arial"/>
        </w:rPr>
      </w:pPr>
      <w:r w:rsidRPr="0013087A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13087A" w:rsidRPr="0013087A" w:rsidRDefault="0013087A" w:rsidP="0013087A">
      <w:pPr>
        <w:pStyle w:val="Textodenotaderodap"/>
        <w:numPr>
          <w:ilvl w:val="0"/>
          <w:numId w:val="8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13087A">
        <w:rPr>
          <w:rFonts w:ascii="Arial" w:hAnsi="Arial" w:cs="Arial"/>
        </w:rPr>
        <w:t>Este texto não substitui o publicado no periódico:</w:t>
      </w:r>
      <w:bookmarkEnd w:id="1"/>
      <w:bookmarkEnd w:id="2"/>
      <w:r w:rsidRPr="0013087A">
        <w:rPr>
          <w:rFonts w:ascii="Arial" w:hAnsi="Arial" w:cs="Arial"/>
        </w:rPr>
        <w:t xml:space="preserve"> </w:t>
      </w:r>
      <w:hyperlink r:id="rId1" w:history="1">
        <w:r w:rsidRPr="0013087A">
          <w:rPr>
            <w:rStyle w:val="Hyperlink"/>
            <w:rFonts w:ascii="Arial" w:hAnsi="Arial" w:cs="Arial"/>
          </w:rPr>
          <w:t>Diário Eletrônico do Tribunal de Contas do Estado do Paraná, Curitiba, PR, n. 791, 18 dez. 2013, p. 24-25</w:t>
        </w:r>
      </w:hyperlink>
      <w:r w:rsidRPr="0013087A">
        <w:rPr>
          <w:rFonts w:ascii="Arial" w:hAnsi="Arial" w:cs="Arial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sz w:val="20"/>
          <w:szCs w:val="20"/>
        </w:rPr>
        <w:t>Altera: </w:t>
      </w:r>
      <w:hyperlink r:id="rId2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Normativa n. 82, de 20 de dezembro de 2012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Pr="0013087A" w:rsidRDefault="0013087A" w:rsidP="0013087A">
      <w:pPr>
        <w:pStyle w:val="NormalWeb"/>
        <w:numPr>
          <w:ilvl w:val="0"/>
          <w:numId w:val="8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13087A"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 w:rsidRPr="0013087A">
        <w:rPr>
          <w:rFonts w:ascii="Arial" w:hAnsi="Arial" w:cs="Arial"/>
          <w:sz w:val="20"/>
          <w:szCs w:val="20"/>
        </w:rPr>
        <w:t xml:space="preserve"> por:  </w:t>
      </w:r>
      <w:hyperlink r:id="rId3" w:history="1">
        <w:r w:rsidRPr="0013087A">
          <w:rPr>
            <w:rStyle w:val="Hyperlink"/>
            <w:rFonts w:ascii="Arial" w:hAnsi="Arial" w:cs="Arial"/>
            <w:sz w:val="20"/>
            <w:szCs w:val="20"/>
          </w:rPr>
          <w:t>Instrução de Serviço n. 89, de 10 de novembro de 2014</w:t>
        </w:r>
      </w:hyperlink>
      <w:r w:rsidRPr="0013087A">
        <w:rPr>
          <w:rFonts w:ascii="Arial" w:hAnsi="Arial" w:cs="Arial"/>
          <w:sz w:val="20"/>
          <w:szCs w:val="20"/>
        </w:rPr>
        <w:t>.</w:t>
      </w:r>
    </w:p>
    <w:p w:rsidR="0013087A" w:rsidRDefault="0013087A" w:rsidP="0013087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FB" w:rsidRDefault="00F718FB" w:rsidP="00C02E28">
    <w:pPr>
      <w:keepLines/>
      <w:spacing w:before="360" w:after="360"/>
      <w:ind w:firstLine="709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A355B4" wp14:editId="311BCBAF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0A39">
      <w:rPr>
        <w:rFonts w:ascii="Arial" w:hAnsi="Arial" w:cs="Arial"/>
        <w:b/>
        <w:sz w:val="28"/>
        <w:szCs w:val="28"/>
      </w:rPr>
      <w:t>TRIBUNAL DE CONTAS DO ESTADO DO PARANÁ</w:t>
    </w:r>
  </w:p>
  <w:p w:rsidR="006D514F" w:rsidRDefault="006D51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70E"/>
    <w:multiLevelType w:val="hybridMultilevel"/>
    <w:tmpl w:val="2DBA8F0C"/>
    <w:lvl w:ilvl="0" w:tplc="C54ED80E">
      <w:start w:val="26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DC7"/>
    <w:multiLevelType w:val="hybridMultilevel"/>
    <w:tmpl w:val="852C77B6"/>
    <w:lvl w:ilvl="0" w:tplc="ED440448">
      <w:start w:val="27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7535C8E"/>
    <w:multiLevelType w:val="hybridMultilevel"/>
    <w:tmpl w:val="ECE239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55D"/>
    <w:multiLevelType w:val="hybridMultilevel"/>
    <w:tmpl w:val="D83879C6"/>
    <w:lvl w:ilvl="0" w:tplc="206E6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353CD"/>
    <w:multiLevelType w:val="hybridMultilevel"/>
    <w:tmpl w:val="A7B20146"/>
    <w:lvl w:ilvl="0" w:tplc="39F8696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68B7A85"/>
    <w:multiLevelType w:val="hybridMultilevel"/>
    <w:tmpl w:val="22B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A5"/>
    <w:rsid w:val="00036449"/>
    <w:rsid w:val="00040625"/>
    <w:rsid w:val="000512A5"/>
    <w:rsid w:val="000C4CF4"/>
    <w:rsid w:val="000C789B"/>
    <w:rsid w:val="000E1381"/>
    <w:rsid w:val="00110EC6"/>
    <w:rsid w:val="0013087A"/>
    <w:rsid w:val="00177368"/>
    <w:rsid w:val="00195BFA"/>
    <w:rsid w:val="001F15C2"/>
    <w:rsid w:val="001F1B2C"/>
    <w:rsid w:val="00202A05"/>
    <w:rsid w:val="00246A38"/>
    <w:rsid w:val="00256528"/>
    <w:rsid w:val="00281ED8"/>
    <w:rsid w:val="0029741C"/>
    <w:rsid w:val="002D08FC"/>
    <w:rsid w:val="002E76EB"/>
    <w:rsid w:val="00303CFD"/>
    <w:rsid w:val="003252C8"/>
    <w:rsid w:val="003376CA"/>
    <w:rsid w:val="00343168"/>
    <w:rsid w:val="003516BA"/>
    <w:rsid w:val="00357C0D"/>
    <w:rsid w:val="00391FB2"/>
    <w:rsid w:val="003975C4"/>
    <w:rsid w:val="003B355A"/>
    <w:rsid w:val="003B48A1"/>
    <w:rsid w:val="003D01BE"/>
    <w:rsid w:val="003D0A5A"/>
    <w:rsid w:val="003D3FF4"/>
    <w:rsid w:val="003F34BA"/>
    <w:rsid w:val="0041668C"/>
    <w:rsid w:val="00446122"/>
    <w:rsid w:val="00451FFE"/>
    <w:rsid w:val="00487383"/>
    <w:rsid w:val="00495FA0"/>
    <w:rsid w:val="004B3F72"/>
    <w:rsid w:val="004E1265"/>
    <w:rsid w:val="004E3497"/>
    <w:rsid w:val="004E3CF9"/>
    <w:rsid w:val="004F18D0"/>
    <w:rsid w:val="00541193"/>
    <w:rsid w:val="005415D7"/>
    <w:rsid w:val="005719C2"/>
    <w:rsid w:val="005A0DB3"/>
    <w:rsid w:val="005A73D9"/>
    <w:rsid w:val="005B0B70"/>
    <w:rsid w:val="005B1603"/>
    <w:rsid w:val="005E28BA"/>
    <w:rsid w:val="005F4973"/>
    <w:rsid w:val="0061658E"/>
    <w:rsid w:val="0062375B"/>
    <w:rsid w:val="00686323"/>
    <w:rsid w:val="006B3358"/>
    <w:rsid w:val="006D1C64"/>
    <w:rsid w:val="006D514F"/>
    <w:rsid w:val="006E1C57"/>
    <w:rsid w:val="0070577F"/>
    <w:rsid w:val="00741BAB"/>
    <w:rsid w:val="00753663"/>
    <w:rsid w:val="007959FA"/>
    <w:rsid w:val="007E3654"/>
    <w:rsid w:val="007F1D23"/>
    <w:rsid w:val="007F57BD"/>
    <w:rsid w:val="00835399"/>
    <w:rsid w:val="00875D14"/>
    <w:rsid w:val="008E4889"/>
    <w:rsid w:val="008F7E65"/>
    <w:rsid w:val="009468BF"/>
    <w:rsid w:val="00964B68"/>
    <w:rsid w:val="009668B0"/>
    <w:rsid w:val="00982984"/>
    <w:rsid w:val="00984C53"/>
    <w:rsid w:val="009920FB"/>
    <w:rsid w:val="00996AAE"/>
    <w:rsid w:val="00A15B1E"/>
    <w:rsid w:val="00A32919"/>
    <w:rsid w:val="00A56C5F"/>
    <w:rsid w:val="00A815B3"/>
    <w:rsid w:val="00A91045"/>
    <w:rsid w:val="00AB5C73"/>
    <w:rsid w:val="00AC0CB3"/>
    <w:rsid w:val="00AC327B"/>
    <w:rsid w:val="00AC6EA5"/>
    <w:rsid w:val="00B07601"/>
    <w:rsid w:val="00B2655F"/>
    <w:rsid w:val="00B8163D"/>
    <w:rsid w:val="00B834A7"/>
    <w:rsid w:val="00BE2132"/>
    <w:rsid w:val="00BE29DE"/>
    <w:rsid w:val="00C027FC"/>
    <w:rsid w:val="00C02E28"/>
    <w:rsid w:val="00CD23BE"/>
    <w:rsid w:val="00D175F5"/>
    <w:rsid w:val="00D23F28"/>
    <w:rsid w:val="00D25760"/>
    <w:rsid w:val="00D602CD"/>
    <w:rsid w:val="00D614B9"/>
    <w:rsid w:val="00D6423D"/>
    <w:rsid w:val="00D7459A"/>
    <w:rsid w:val="00D74849"/>
    <w:rsid w:val="00DB3ACB"/>
    <w:rsid w:val="00DB43D4"/>
    <w:rsid w:val="00DB6B3F"/>
    <w:rsid w:val="00DC50DB"/>
    <w:rsid w:val="00DF1202"/>
    <w:rsid w:val="00E149D9"/>
    <w:rsid w:val="00E15BA6"/>
    <w:rsid w:val="00E563F8"/>
    <w:rsid w:val="00E72E92"/>
    <w:rsid w:val="00EF1C1F"/>
    <w:rsid w:val="00F27C88"/>
    <w:rsid w:val="00F46B68"/>
    <w:rsid w:val="00F6538C"/>
    <w:rsid w:val="00F718FB"/>
    <w:rsid w:val="00FA3863"/>
    <w:rsid w:val="00FA717C"/>
    <w:rsid w:val="00FD725F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6C21F1"/>
  <w15:docId w15:val="{16ECB515-DE4E-418B-9863-3C58684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AC6EA5"/>
    <w:pPr>
      <w:spacing w:before="240" w:after="240"/>
      <w:ind w:left="4253"/>
      <w:jc w:val="both"/>
    </w:pPr>
    <w:rPr>
      <w:rFonts w:ascii="Arial" w:hAnsi="Arial"/>
      <w:bCs/>
    </w:rPr>
  </w:style>
  <w:style w:type="paragraph" w:customStyle="1" w:styleId="Texto">
    <w:name w:val="Texto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</w:rPr>
  </w:style>
  <w:style w:type="paragraph" w:customStyle="1" w:styleId="ArtigosOrdinais">
    <w:name w:val="ArtigosOrdinais"/>
    <w:basedOn w:val="Normal"/>
    <w:rsid w:val="00AC6E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</w:rPr>
  </w:style>
  <w:style w:type="paragraph" w:styleId="Cabealho">
    <w:name w:val="header"/>
    <w:basedOn w:val="Normal"/>
    <w:link w:val="CabealhoChar"/>
    <w:unhideWhenUsed/>
    <w:rsid w:val="00F718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18FB"/>
  </w:style>
  <w:style w:type="paragraph" w:styleId="Rodap">
    <w:name w:val="footer"/>
    <w:basedOn w:val="Normal"/>
    <w:link w:val="RodapChar"/>
    <w:uiPriority w:val="99"/>
    <w:unhideWhenUsed/>
    <w:rsid w:val="00F718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8FB"/>
  </w:style>
  <w:style w:type="paragraph" w:customStyle="1" w:styleId="Assunto">
    <w:name w:val="Assunto"/>
    <w:basedOn w:val="Normal"/>
    <w:rsid w:val="000C4CF4"/>
    <w:pPr>
      <w:keepNext/>
      <w:numPr>
        <w:numId w:val="1"/>
      </w:numPr>
      <w:spacing w:before="240" w:after="120"/>
    </w:pPr>
    <w:rPr>
      <w:rFonts w:ascii="Arial" w:hAnsi="Arial" w:cs="Arial"/>
      <w:b/>
      <w:bCs/>
    </w:rPr>
  </w:style>
  <w:style w:type="character" w:styleId="Nmerodepgina">
    <w:name w:val="page number"/>
    <w:basedOn w:val="Fontepargpadro"/>
    <w:rsid w:val="00FD726E"/>
  </w:style>
  <w:style w:type="paragraph" w:styleId="Recuodecorpodetexto3">
    <w:name w:val="Body Text Indent 3"/>
    <w:basedOn w:val="Normal"/>
    <w:link w:val="Recuodecorpodetexto3Char"/>
    <w:rsid w:val="005719C2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5719C2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Sumrio1">
    <w:name w:val="toc 1"/>
    <w:basedOn w:val="Normal"/>
    <w:next w:val="Normal"/>
    <w:semiHidden/>
    <w:rsid w:val="00D7459A"/>
    <w:pPr>
      <w:spacing w:before="120" w:after="120"/>
    </w:pPr>
    <w:rPr>
      <w:rFonts w:ascii="Arial" w:hAnsi="Arial"/>
      <w:b/>
      <w:bCs/>
      <w:caps/>
      <w:sz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13087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308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3087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13087A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1308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87A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9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89-de-10-de-novembro-de-2014/264307/area/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-89-de-10-de-novembro-de-2014/264307/area/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-89-de-10-de-novembro-de-2014/264307/area/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1.tce.pr.gov.br/conteudo/instrucao-de-servico-n-89-de-10-de-novembro-de-2014/264307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89-de-10-de-novembro-de-2014/264307/area/1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89-de-10-de-novembro-de-2014/264307/area/10" TargetMode="External"/><Relationship Id="rId2" Type="http://schemas.openxmlformats.org/officeDocument/2006/relationships/hyperlink" Target="http://www1.tce.pr.gov.br/conteudo/instrucao-normativa-n-82-de-20-de-dezembro-de-2012/237592/area/10" TargetMode="External"/><Relationship Id="rId1" Type="http://schemas.openxmlformats.org/officeDocument/2006/relationships/hyperlink" Target="http://www1.tce.pr.gov.br/multimidia/2013/12/pdf/002536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47A4-79C2-4D5C-A248-827AD23C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Ivens Zschoerper Linhares</dc:creator>
  <cp:lastModifiedBy>Yarusya Rohrich da Fonseca</cp:lastModifiedBy>
  <cp:revision>6</cp:revision>
  <cp:lastPrinted>2013-12-11T16:33:00Z</cp:lastPrinted>
  <dcterms:created xsi:type="dcterms:W3CDTF">2019-02-21T16:26:00Z</dcterms:created>
  <dcterms:modified xsi:type="dcterms:W3CDTF">2019-07-01T12:52:00Z</dcterms:modified>
</cp:coreProperties>
</file>