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2D0" w:rsidRPr="00C52CB9" w:rsidRDefault="00E442D0" w:rsidP="00E442D0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C52CB9">
        <w:rPr>
          <w:rFonts w:ascii="Arial" w:hAnsi="Arial" w:cs="Arial"/>
          <w:b/>
          <w:bCs/>
          <w:sz w:val="28"/>
          <w:szCs w:val="28"/>
        </w:rPr>
        <w:t>INSTRUÇÃO DE SERVIÇO Nº </w:t>
      </w:r>
      <w:r w:rsidRPr="00C52CB9">
        <w:rPr>
          <w:rFonts w:ascii="Arial" w:hAnsi="Arial" w:cs="Arial"/>
          <w:b/>
          <w:sz w:val="28"/>
          <w:szCs w:val="28"/>
        </w:rPr>
        <w:t>32/2012</w:t>
      </w:r>
      <w:r w:rsidRPr="00C52CB9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  <w:bookmarkStart w:id="1" w:name="_GoBack"/>
      <w:bookmarkEnd w:id="1"/>
    </w:p>
    <w:p w:rsidR="00E442D0" w:rsidRPr="001420FF" w:rsidRDefault="00E442D0" w:rsidP="00E442D0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0" w:right="0" w:firstLine="0"/>
        <w:rPr>
          <w:szCs w:val="24"/>
        </w:rPr>
      </w:pPr>
    </w:p>
    <w:p w:rsidR="00E442D0" w:rsidRPr="001420FF" w:rsidRDefault="00E442D0" w:rsidP="00E442D0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0" w:right="0" w:firstLine="0"/>
        <w:rPr>
          <w:szCs w:val="24"/>
        </w:rPr>
      </w:pPr>
    </w:p>
    <w:p w:rsidR="00E442D0" w:rsidRPr="00E442D0" w:rsidRDefault="00E442D0" w:rsidP="00E442D0">
      <w:pPr>
        <w:ind w:left="4536" w:right="57"/>
        <w:jc w:val="both"/>
        <w:rPr>
          <w:rFonts w:ascii="Arial" w:hAnsi="Arial" w:cs="Arial"/>
          <w:i/>
        </w:rPr>
      </w:pPr>
      <w:r w:rsidRPr="00E442D0">
        <w:rPr>
          <w:rFonts w:ascii="Arial" w:hAnsi="Arial" w:cs="Arial"/>
          <w:i/>
        </w:rPr>
        <w:t>Dispõe sobre a delegação de despachos de mero expediente sem caráter decisório.</w:t>
      </w:r>
    </w:p>
    <w:p w:rsidR="00E442D0" w:rsidRPr="001420FF" w:rsidRDefault="00E442D0" w:rsidP="00E442D0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0" w:right="0" w:firstLine="0"/>
        <w:rPr>
          <w:szCs w:val="24"/>
        </w:rPr>
      </w:pPr>
    </w:p>
    <w:p w:rsidR="00E442D0" w:rsidRPr="001420FF" w:rsidRDefault="00E442D0" w:rsidP="00E442D0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0" w:right="0" w:firstLine="0"/>
        <w:rPr>
          <w:szCs w:val="24"/>
        </w:rPr>
      </w:pPr>
    </w:p>
    <w:p w:rsidR="00E442D0" w:rsidRPr="00E442D0" w:rsidRDefault="00E442D0" w:rsidP="00E442D0">
      <w:pPr>
        <w:spacing w:after="120" w:line="240" w:lineRule="auto"/>
        <w:ind w:right="57"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 xml:space="preserve">Considerando o previsto no art. 93, inciso XIV, da Constituição Federal, c/c art. 73, § 4º, da Constituição Federal, e considerando o disposto no art. 32, § 1º, c/c art. 52-A, </w:t>
      </w:r>
      <w:r w:rsidRPr="00E442D0">
        <w:rPr>
          <w:rFonts w:ascii="Arial" w:hAnsi="Arial" w:cs="Arial"/>
          <w:i/>
          <w:sz w:val="24"/>
          <w:szCs w:val="24"/>
        </w:rPr>
        <w:t>caput</w:t>
      </w:r>
      <w:r w:rsidRPr="00E442D0">
        <w:rPr>
          <w:rFonts w:ascii="Arial" w:hAnsi="Arial" w:cs="Arial"/>
          <w:sz w:val="24"/>
          <w:szCs w:val="24"/>
        </w:rPr>
        <w:t>, do Regimento Interno.</w:t>
      </w:r>
    </w:p>
    <w:p w:rsidR="00E442D0" w:rsidRPr="00E442D0" w:rsidRDefault="00E442D0" w:rsidP="00E442D0">
      <w:pPr>
        <w:spacing w:after="120" w:line="240" w:lineRule="auto"/>
        <w:ind w:right="57"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O AUDITOR CLÁUDIO AUGUSTO CANHA, no uso das atribuições que lhe são conferidas pelo art. 197 do Regimento Interno determina a delegação de despachos de mero expediente, sem caráter decisório, nos termos a seguir.</w:t>
      </w:r>
    </w:p>
    <w:p w:rsidR="00E442D0" w:rsidRPr="00E442D0" w:rsidRDefault="00E442D0" w:rsidP="00E442D0">
      <w:pPr>
        <w:spacing w:after="120" w:line="240" w:lineRule="auto"/>
        <w:ind w:right="57"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Art. 1º - Ficam delegados aos servidores deste Gabinete, ACE JERUSA HELENA PIAZ KLOCK, matrícula nº 51.281-8, e ACE MARCELO DA SILVA BENTO, matrícula nº 50.719-9, os despachos de mero expediente, sem caráter decisório, em processos que me foram distribuídos, nas seguintes hipóteses:</w:t>
      </w:r>
    </w:p>
    <w:p w:rsidR="00E442D0" w:rsidRPr="00E442D0" w:rsidRDefault="00E442D0" w:rsidP="00D21BBC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E442D0">
        <w:rPr>
          <w:rFonts w:ascii="Arial" w:hAnsi="Arial" w:cs="Arial"/>
          <w:sz w:val="24"/>
          <w:szCs w:val="24"/>
        </w:rPr>
        <w:t>autorização e determinação</w:t>
      </w:r>
      <w:proofErr w:type="gramEnd"/>
      <w:r w:rsidRPr="00E442D0">
        <w:rPr>
          <w:rFonts w:ascii="Arial" w:hAnsi="Arial" w:cs="Arial"/>
          <w:sz w:val="24"/>
          <w:szCs w:val="24"/>
        </w:rPr>
        <w:t xml:space="preserve"> de citações e intimações, acolhendo integralmente proposta da unidade técnica, nas modalidades previstas no Capítulo XIV do Regimento Interno, exceto quando se tratar das autoridades mencionadas no art. 32, § 2º, </w:t>
      </w:r>
      <w:r w:rsidRPr="00E442D0">
        <w:rPr>
          <w:rFonts w:ascii="Arial" w:hAnsi="Arial" w:cs="Arial"/>
          <w:i/>
          <w:sz w:val="24"/>
          <w:szCs w:val="24"/>
        </w:rPr>
        <w:t>in fine</w:t>
      </w:r>
      <w:r w:rsidRPr="00E442D0">
        <w:rPr>
          <w:rFonts w:ascii="Arial" w:hAnsi="Arial" w:cs="Arial"/>
          <w:sz w:val="24"/>
          <w:szCs w:val="24"/>
        </w:rPr>
        <w:t>, do Regimento Interno;</w:t>
      </w:r>
    </w:p>
    <w:p w:rsidR="00E442D0" w:rsidRPr="00E442D0" w:rsidRDefault="00E442D0" w:rsidP="00D21BBC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E442D0">
        <w:rPr>
          <w:rFonts w:ascii="Arial" w:hAnsi="Arial" w:cs="Arial"/>
          <w:sz w:val="24"/>
          <w:szCs w:val="24"/>
        </w:rPr>
        <w:t>autorização e determinação</w:t>
      </w:r>
      <w:proofErr w:type="gramEnd"/>
      <w:r w:rsidRPr="00E442D0">
        <w:rPr>
          <w:rFonts w:ascii="Arial" w:hAnsi="Arial" w:cs="Arial"/>
          <w:sz w:val="24"/>
          <w:szCs w:val="24"/>
        </w:rPr>
        <w:t xml:space="preserve"> de diligências, acolhendo integralmente proposta da unidade técnica, bem como o encaminhamento de processos para a regular manifestação do Ministério Público junto ao Tribunal de Contas; </w:t>
      </w:r>
    </w:p>
    <w:p w:rsidR="00E442D0" w:rsidRPr="00E442D0" w:rsidRDefault="00E442D0" w:rsidP="00D21BBC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III – autorização e determinação de providências atinentes à correção da autuação de processos, acolhendo integralmente proposta da unidade técnica, nos casos de redistribuição de feitos, correção de nomes de partes, interessados e advogados, inclusão e exclusão de nomes de advogados, com exceção da inclusão de partes e interessados, conforme vedação contida no art. 347, § 5º, do Regimento Interno;</w:t>
      </w:r>
    </w:p>
    <w:p w:rsidR="00E442D0" w:rsidRPr="00E442D0" w:rsidRDefault="00E442D0" w:rsidP="00D21BBC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E442D0">
        <w:rPr>
          <w:rFonts w:ascii="Arial" w:hAnsi="Arial" w:cs="Arial"/>
          <w:sz w:val="24"/>
          <w:szCs w:val="24"/>
        </w:rPr>
        <w:t>deferimento</w:t>
      </w:r>
      <w:proofErr w:type="gramEnd"/>
      <w:r w:rsidRPr="00E442D0">
        <w:rPr>
          <w:rFonts w:ascii="Arial" w:hAnsi="Arial" w:cs="Arial"/>
          <w:sz w:val="24"/>
          <w:szCs w:val="24"/>
        </w:rPr>
        <w:t xml:space="preserve"> de requerimentos de prorrogação de prazo para exercício do contraditório e da ampla defesa e para cumprimento de diligências, nos termos regimentais, e observado o disposto no art. 40 do Código de Processo Civil;</w:t>
      </w:r>
    </w:p>
    <w:p w:rsidR="00E442D0" w:rsidRPr="00E442D0" w:rsidRDefault="00E442D0" w:rsidP="00D21BBC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 xml:space="preserve">V – </w:t>
      </w:r>
      <w:proofErr w:type="gramStart"/>
      <w:r w:rsidRPr="00E442D0">
        <w:rPr>
          <w:rFonts w:ascii="Arial" w:hAnsi="Arial" w:cs="Arial"/>
          <w:sz w:val="24"/>
          <w:szCs w:val="24"/>
        </w:rPr>
        <w:t>autorização</w:t>
      </w:r>
      <w:proofErr w:type="gramEnd"/>
      <w:r w:rsidRPr="00E442D0">
        <w:rPr>
          <w:rFonts w:ascii="Arial" w:hAnsi="Arial" w:cs="Arial"/>
          <w:sz w:val="24"/>
          <w:szCs w:val="24"/>
        </w:rPr>
        <w:t xml:space="preserve"> de juntada de alegações de defesa, de documentos novos e de provas apresentadas nos termos previstos no Capítulo VII do Regimento Interno, bem como encaminhamento à unidade técnica para nova instrução, incluindo a análise dos novos elementos juntados;</w:t>
      </w:r>
    </w:p>
    <w:p w:rsidR="00E442D0" w:rsidRPr="00E442D0" w:rsidRDefault="00E442D0" w:rsidP="00D21BBC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lastRenderedPageBreak/>
        <w:t xml:space="preserve">VI – </w:t>
      </w:r>
      <w:proofErr w:type="gramStart"/>
      <w:r w:rsidRPr="00E442D0">
        <w:rPr>
          <w:rFonts w:ascii="Arial" w:hAnsi="Arial" w:cs="Arial"/>
          <w:sz w:val="24"/>
          <w:szCs w:val="24"/>
        </w:rPr>
        <w:t>autorização e determinação</w:t>
      </w:r>
      <w:proofErr w:type="gramEnd"/>
      <w:r w:rsidRPr="00E442D0">
        <w:rPr>
          <w:rFonts w:ascii="Arial" w:hAnsi="Arial" w:cs="Arial"/>
          <w:sz w:val="24"/>
          <w:szCs w:val="24"/>
        </w:rPr>
        <w:t xml:space="preserve"> de apensamento e </w:t>
      </w:r>
      <w:proofErr w:type="spellStart"/>
      <w:r w:rsidRPr="00E442D0">
        <w:rPr>
          <w:rFonts w:ascii="Arial" w:hAnsi="Arial" w:cs="Arial"/>
          <w:sz w:val="24"/>
          <w:szCs w:val="24"/>
        </w:rPr>
        <w:t>desapensamento</w:t>
      </w:r>
      <w:proofErr w:type="spellEnd"/>
      <w:r w:rsidRPr="00E442D0">
        <w:rPr>
          <w:rFonts w:ascii="Arial" w:hAnsi="Arial" w:cs="Arial"/>
          <w:sz w:val="24"/>
          <w:szCs w:val="24"/>
        </w:rPr>
        <w:t xml:space="preserve"> de processos, acolhendo integralmente proposta da unidade técnica;</w:t>
      </w:r>
    </w:p>
    <w:p w:rsidR="00E442D0" w:rsidRPr="00E442D0" w:rsidRDefault="00E442D0" w:rsidP="00D21BBC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VII – deferimento de pedidos de vistas e de cópias, nos termos regimentais; e</w:t>
      </w:r>
    </w:p>
    <w:p w:rsidR="00E442D0" w:rsidRPr="00E442D0" w:rsidRDefault="00E442D0" w:rsidP="00D21BBC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VIII - autorização e determinação de encerramento e arquivamento de processos, acolhendo pareceres uniformes da unidade técnica e do representante do Ministério Público junto ao Tribunal de Contas.</w:t>
      </w:r>
    </w:p>
    <w:p w:rsidR="00E442D0" w:rsidRPr="00E442D0" w:rsidRDefault="00E442D0" w:rsidP="00E442D0">
      <w:pPr>
        <w:spacing w:after="120" w:line="240" w:lineRule="auto"/>
        <w:ind w:right="57"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Art. 2º - os servidores delegados farão constar expressa referência cumprimento desta instrução de serviço nos atos que formalizarem na sua observância.</w:t>
      </w:r>
    </w:p>
    <w:p w:rsidR="00E442D0" w:rsidRPr="00E442D0" w:rsidRDefault="00E442D0" w:rsidP="00E442D0">
      <w:pPr>
        <w:spacing w:after="120" w:line="240" w:lineRule="auto"/>
        <w:ind w:right="57"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Art. 3º - Fica revogada a Instrução de Serviço nº 001/2007.</w:t>
      </w:r>
    </w:p>
    <w:p w:rsidR="00E442D0" w:rsidRPr="00E442D0" w:rsidRDefault="00E442D0" w:rsidP="00E442D0">
      <w:pPr>
        <w:spacing w:after="120" w:line="240" w:lineRule="auto"/>
        <w:ind w:right="57" w:firstLine="851"/>
        <w:jc w:val="both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Art. 4º - Esta Instrução de Serviço entrará em vigor na data de sua publicação.</w:t>
      </w:r>
    </w:p>
    <w:p w:rsidR="00E442D0" w:rsidRPr="00E442D0" w:rsidRDefault="00E442D0" w:rsidP="00E442D0">
      <w:pPr>
        <w:ind w:right="57"/>
        <w:jc w:val="center"/>
        <w:rPr>
          <w:rFonts w:ascii="Arial" w:hAnsi="Arial" w:cs="Arial"/>
          <w:sz w:val="24"/>
          <w:szCs w:val="24"/>
        </w:rPr>
      </w:pPr>
      <w:bookmarkStart w:id="2" w:name="DataAtualExtenso"/>
      <w:r w:rsidRPr="00E442D0">
        <w:rPr>
          <w:rFonts w:ascii="Arial" w:hAnsi="Arial" w:cs="Arial"/>
          <w:sz w:val="24"/>
          <w:szCs w:val="24"/>
        </w:rPr>
        <w:t xml:space="preserve">Curitiba, </w:t>
      </w:r>
      <w:bookmarkEnd w:id="2"/>
      <w:r w:rsidRPr="00E442D0">
        <w:rPr>
          <w:rFonts w:ascii="Arial" w:hAnsi="Arial" w:cs="Arial"/>
          <w:sz w:val="24"/>
          <w:szCs w:val="24"/>
        </w:rPr>
        <w:t>18 de janeiro de 2012.</w:t>
      </w:r>
    </w:p>
    <w:p w:rsidR="00E442D0" w:rsidRPr="00E442D0" w:rsidRDefault="00E442D0" w:rsidP="00E442D0">
      <w:pPr>
        <w:ind w:right="57"/>
        <w:jc w:val="center"/>
        <w:rPr>
          <w:rFonts w:ascii="Arial" w:hAnsi="Arial" w:cs="Arial"/>
          <w:sz w:val="24"/>
          <w:szCs w:val="24"/>
        </w:rPr>
      </w:pPr>
    </w:p>
    <w:p w:rsidR="00E442D0" w:rsidRPr="00E442D0" w:rsidRDefault="00E442D0" w:rsidP="00E442D0">
      <w:pPr>
        <w:ind w:right="57"/>
        <w:jc w:val="center"/>
        <w:rPr>
          <w:rFonts w:ascii="Arial" w:hAnsi="Arial" w:cs="Arial"/>
          <w:sz w:val="24"/>
          <w:szCs w:val="24"/>
        </w:rPr>
      </w:pPr>
    </w:p>
    <w:p w:rsidR="00E442D0" w:rsidRPr="00E442D0" w:rsidRDefault="00E442D0" w:rsidP="00E442D0">
      <w:pPr>
        <w:ind w:right="57"/>
        <w:jc w:val="center"/>
        <w:rPr>
          <w:rFonts w:ascii="Arial" w:hAnsi="Arial" w:cs="Arial"/>
          <w:sz w:val="24"/>
          <w:szCs w:val="24"/>
        </w:rPr>
      </w:pPr>
    </w:p>
    <w:p w:rsidR="00E442D0" w:rsidRPr="00E442D0" w:rsidRDefault="00E442D0" w:rsidP="00E442D0">
      <w:pPr>
        <w:ind w:right="57"/>
        <w:jc w:val="center"/>
        <w:rPr>
          <w:rFonts w:ascii="Arial" w:hAnsi="Arial" w:cs="Arial"/>
          <w:sz w:val="24"/>
          <w:szCs w:val="24"/>
        </w:rPr>
      </w:pPr>
    </w:p>
    <w:p w:rsidR="00E442D0" w:rsidRPr="00E442D0" w:rsidRDefault="00E442D0" w:rsidP="00E442D0">
      <w:pPr>
        <w:ind w:right="57"/>
        <w:jc w:val="center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 xml:space="preserve">CLÁUDIO AUGUSTO CANHA </w:t>
      </w:r>
    </w:p>
    <w:p w:rsidR="00E442D0" w:rsidRPr="00E442D0" w:rsidRDefault="00E442D0" w:rsidP="00E442D0">
      <w:pPr>
        <w:ind w:right="57"/>
        <w:jc w:val="center"/>
        <w:rPr>
          <w:rFonts w:ascii="Arial" w:hAnsi="Arial" w:cs="Arial"/>
          <w:sz w:val="24"/>
          <w:szCs w:val="24"/>
        </w:rPr>
      </w:pPr>
      <w:r w:rsidRPr="00E442D0">
        <w:rPr>
          <w:rFonts w:ascii="Arial" w:hAnsi="Arial" w:cs="Arial"/>
          <w:sz w:val="24"/>
          <w:szCs w:val="24"/>
        </w:rPr>
        <w:t>Auditor</w:t>
      </w:r>
    </w:p>
    <w:p w:rsidR="0015408B" w:rsidRDefault="0015408B"/>
    <w:sectPr w:rsidR="0015408B" w:rsidSect="00554EF5">
      <w:headerReference w:type="default" r:id="rId8"/>
      <w:footerReference w:type="even" r:id="rId9"/>
      <w:footerReference w:type="default" r:id="rId10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2D0" w:rsidRDefault="00E442D0" w:rsidP="00E442D0">
      <w:pPr>
        <w:spacing w:after="0" w:line="240" w:lineRule="auto"/>
      </w:pPr>
      <w:r>
        <w:separator/>
      </w:r>
    </w:p>
  </w:endnote>
  <w:endnote w:type="continuationSeparator" w:id="0">
    <w:p w:rsidR="00E442D0" w:rsidRDefault="00E442D0" w:rsidP="00E4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030" w:rsidRDefault="00C37869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7030" w:rsidRDefault="00C52CB9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030" w:rsidRDefault="00C37869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17030" w:rsidRDefault="00C52CB9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2D0" w:rsidRDefault="00E442D0" w:rsidP="00E442D0">
      <w:pPr>
        <w:spacing w:after="0" w:line="240" w:lineRule="auto"/>
      </w:pPr>
      <w:r>
        <w:separator/>
      </w:r>
    </w:p>
  </w:footnote>
  <w:footnote w:type="continuationSeparator" w:id="0">
    <w:p w:rsidR="00E442D0" w:rsidRDefault="00E442D0" w:rsidP="00E442D0">
      <w:pPr>
        <w:spacing w:after="0" w:line="240" w:lineRule="auto"/>
      </w:pPr>
      <w:r>
        <w:continuationSeparator/>
      </w:r>
    </w:p>
  </w:footnote>
  <w:footnote w:id="1">
    <w:p w:rsidR="00E442D0" w:rsidRPr="001F7238" w:rsidRDefault="00E442D0" w:rsidP="00E442D0">
      <w:pPr>
        <w:pStyle w:val="Textodenotaderodap"/>
        <w:spacing w:after="0" w:line="240" w:lineRule="auto"/>
        <w:rPr>
          <w:rFonts w:ascii="Arial" w:hAnsi="Arial" w:cs="Arial"/>
        </w:rPr>
      </w:pPr>
      <w:r w:rsidRPr="00E442D0">
        <w:rPr>
          <w:rStyle w:val="Refdenotaderodap"/>
        </w:rPr>
        <w:sym w:font="Symbol" w:char="F02A"/>
      </w:r>
      <w:r>
        <w:t xml:space="preserve"> </w:t>
      </w:r>
      <w:bookmarkStart w:id="0" w:name="_Hlk870416"/>
      <w:r w:rsidRPr="001F723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otas</w:t>
      </w:r>
      <w:r w:rsidRPr="001F7238">
        <w:rPr>
          <w:rFonts w:ascii="Arial" w:hAnsi="Arial" w:cs="Arial"/>
          <w:b/>
        </w:rPr>
        <w:t xml:space="preserve"> da Biblioteca:</w:t>
      </w:r>
    </w:p>
    <w:bookmarkEnd w:id="0"/>
    <w:p w:rsidR="00E442D0" w:rsidRPr="00E442D0" w:rsidRDefault="00E442D0" w:rsidP="00E442D0">
      <w:pPr>
        <w:pStyle w:val="Textodenotaderodap"/>
        <w:numPr>
          <w:ilvl w:val="0"/>
          <w:numId w:val="2"/>
        </w:numPr>
        <w:spacing w:after="0" w:line="240" w:lineRule="auto"/>
        <w:ind w:left="426" w:hanging="284"/>
        <w:rPr>
          <w:rFonts w:ascii="Arial" w:hAnsi="Arial" w:cs="Arial"/>
        </w:rPr>
      </w:pPr>
      <w:r w:rsidRPr="00E442D0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E442D0">
          <w:rPr>
            <w:rStyle w:val="Hyperlink"/>
            <w:rFonts w:ascii="Arial" w:hAnsi="Arial" w:cs="Arial"/>
          </w:rPr>
          <w:t>Atos Oficiais do Tribunal de Contas do Estado do Paraná, Curitiba, PR, n. 333, 20 jan. 2012, p. 139-140</w:t>
        </w:r>
      </w:hyperlink>
      <w:r w:rsidRPr="00E442D0">
        <w:rPr>
          <w:rFonts w:ascii="Arial" w:hAnsi="Arial" w:cs="Arial"/>
        </w:rPr>
        <w:t>.</w:t>
      </w:r>
    </w:p>
    <w:p w:rsidR="00E442D0" w:rsidRPr="00E442D0" w:rsidRDefault="00E442D0" w:rsidP="00E442D0">
      <w:pPr>
        <w:pStyle w:val="NormalWeb"/>
        <w:numPr>
          <w:ilvl w:val="0"/>
          <w:numId w:val="2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E442D0">
        <w:rPr>
          <w:rStyle w:val="Forte"/>
          <w:rFonts w:ascii="Arial" w:hAnsi="Arial" w:cs="Arial"/>
          <w:color w:val="0000CD"/>
          <w:sz w:val="20"/>
          <w:szCs w:val="20"/>
        </w:rPr>
        <w:t>Alterada</w:t>
      </w:r>
      <w:r w:rsidRPr="00E442D0">
        <w:rPr>
          <w:rFonts w:ascii="Arial" w:hAnsi="Arial" w:cs="Arial"/>
          <w:sz w:val="20"/>
          <w:szCs w:val="20"/>
        </w:rPr>
        <w:t xml:space="preserve"> por: </w:t>
      </w:r>
      <w:hyperlink r:id="rId2" w:history="1">
        <w:r w:rsidRPr="00E442D0">
          <w:rPr>
            <w:rStyle w:val="Hyperlink"/>
            <w:rFonts w:ascii="Arial" w:hAnsi="Arial" w:cs="Arial"/>
            <w:sz w:val="20"/>
            <w:szCs w:val="20"/>
          </w:rPr>
          <w:t>Instrução de Serviço n. 50, de 13 de março de 2013</w:t>
        </w:r>
      </w:hyperlink>
      <w:r w:rsidRPr="00E442D0">
        <w:rPr>
          <w:rFonts w:ascii="Arial" w:hAnsi="Arial" w:cs="Arial"/>
          <w:sz w:val="20"/>
          <w:szCs w:val="20"/>
        </w:rPr>
        <w:t>.</w:t>
      </w:r>
    </w:p>
    <w:p w:rsidR="00E442D0" w:rsidRPr="00E442D0" w:rsidRDefault="00E442D0" w:rsidP="00E442D0">
      <w:pPr>
        <w:pStyle w:val="NormalWeb"/>
        <w:numPr>
          <w:ilvl w:val="0"/>
          <w:numId w:val="2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E442D0">
        <w:rPr>
          <w:rStyle w:val="Forte"/>
          <w:rFonts w:ascii="Arial" w:hAnsi="Arial" w:cs="Arial"/>
          <w:sz w:val="20"/>
          <w:szCs w:val="20"/>
        </w:rPr>
        <w:t>Revoga</w:t>
      </w:r>
      <w:r w:rsidRPr="00E442D0">
        <w:rPr>
          <w:rFonts w:ascii="Arial" w:hAnsi="Arial" w:cs="Arial"/>
          <w:sz w:val="20"/>
          <w:szCs w:val="20"/>
        </w:rPr>
        <w:t>: Instrução de Serviço nº 1/2007- SAUDI.</w:t>
      </w:r>
    </w:p>
    <w:p w:rsidR="00E442D0" w:rsidRPr="00E442D0" w:rsidRDefault="00E442D0" w:rsidP="00E442D0">
      <w:pPr>
        <w:pStyle w:val="Textodenotaderodap"/>
        <w:spacing w:after="0" w:line="240" w:lineRule="aut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030" w:rsidRDefault="00C52CB9" w:rsidP="0091709F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TC colorido - medio" style="position:absolute;left:0;text-align:left;margin-left:-.25pt;margin-top:4.55pt;width:47.7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logo TC colorido - medio"/>
          <w10:wrap type="square"/>
        </v:shape>
      </w:pict>
    </w:r>
    <w:r w:rsidR="00C37869"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50F49"/>
    <w:multiLevelType w:val="hybridMultilevel"/>
    <w:tmpl w:val="2E70C3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72942"/>
    <w:multiLevelType w:val="hybridMultilevel"/>
    <w:tmpl w:val="E94810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2D0"/>
    <w:rsid w:val="0015408B"/>
    <w:rsid w:val="003C536B"/>
    <w:rsid w:val="00C37869"/>
    <w:rsid w:val="00C52CB9"/>
    <w:rsid w:val="00D21BBC"/>
    <w:rsid w:val="00E4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5FDF61-6F28-4982-B729-8F338D36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E442D0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paragraph" w:styleId="Rodap">
    <w:name w:val="footer"/>
    <w:basedOn w:val="Normal"/>
    <w:link w:val="RodapChar"/>
    <w:rsid w:val="00E442D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E442D0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E442D0"/>
  </w:style>
  <w:style w:type="paragraph" w:styleId="Cabealho">
    <w:name w:val="header"/>
    <w:basedOn w:val="Normal"/>
    <w:link w:val="CabealhoChar"/>
    <w:uiPriority w:val="99"/>
    <w:rsid w:val="00E442D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E442D0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xtodenotaderodap">
    <w:name w:val="footnote text"/>
    <w:basedOn w:val="Normal"/>
    <w:link w:val="TextodenotaderodapChar"/>
    <w:semiHidden/>
    <w:unhideWhenUsed/>
    <w:rsid w:val="00E442D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442D0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42D0"/>
    <w:rPr>
      <w:vertAlign w:val="superscri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42D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42D0"/>
    <w:rPr>
      <w:lang w:eastAsia="en-US"/>
    </w:rPr>
  </w:style>
  <w:style w:type="character" w:styleId="Hyperlink">
    <w:name w:val="Hyperlink"/>
    <w:uiPriority w:val="99"/>
    <w:semiHidden/>
    <w:unhideWhenUsed/>
    <w:rsid w:val="00E442D0"/>
    <w:rPr>
      <w:color w:val="004C78"/>
      <w:u w:val="single"/>
    </w:rPr>
  </w:style>
  <w:style w:type="character" w:styleId="Forte">
    <w:name w:val="Strong"/>
    <w:uiPriority w:val="22"/>
    <w:qFormat/>
    <w:rsid w:val="00E442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42D0"/>
    <w:pPr>
      <w:spacing w:before="100" w:beforeAutospacing="1" w:after="180" w:line="300" w:lineRule="atLeas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7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39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1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&#186;-502013/240041/area/10" TargetMode="External"/><Relationship Id="rId1" Type="http://schemas.openxmlformats.org/officeDocument/2006/relationships/hyperlink" Target="http://www1.tce.pr.gov.br/multimidia/2012/1/pdf/002403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9E688-96F6-4F87-89BB-76234A31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dc:description/>
  <cp:lastModifiedBy>Yarusya Rohrich da Fonseca</cp:lastModifiedBy>
  <cp:revision>4</cp:revision>
  <dcterms:created xsi:type="dcterms:W3CDTF">2019-02-21T15:06:00Z</dcterms:created>
  <dcterms:modified xsi:type="dcterms:W3CDTF">2019-07-02T13:27:00Z</dcterms:modified>
</cp:coreProperties>
</file>