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A02F" w14:textId="03C562D2" w:rsidR="00F16388" w:rsidRDefault="00000000" w:rsidP="00B42463">
      <w:pPr>
        <w:pStyle w:val="Ttulo"/>
        <w:spacing w:after="360"/>
      </w:pPr>
      <w:r>
        <w:rPr>
          <w:spacing w:val="-2"/>
        </w:rPr>
        <w:t>INSTRUÇÃO</w:t>
      </w:r>
      <w:r>
        <w:rPr>
          <w:spacing w:val="-8"/>
        </w:rPr>
        <w:t xml:space="preserve"> </w:t>
      </w:r>
      <w:r>
        <w:rPr>
          <w:spacing w:val="-2"/>
        </w:rPr>
        <w:t>NORMATIVA</w:t>
      </w:r>
      <w:r>
        <w:rPr>
          <w:spacing w:val="-18"/>
        </w:rPr>
        <w:t xml:space="preserve"> </w:t>
      </w:r>
      <w:r>
        <w:rPr>
          <w:spacing w:val="-2"/>
        </w:rPr>
        <w:t>Nº</w:t>
      </w:r>
      <w:r>
        <w:rPr>
          <w:spacing w:val="-8"/>
        </w:rPr>
        <w:t xml:space="preserve"> </w:t>
      </w:r>
      <w:r>
        <w:rPr>
          <w:spacing w:val="-2"/>
        </w:rPr>
        <w:t>185/2024</w:t>
      </w:r>
      <w:r w:rsidR="0065685E" w:rsidRPr="0065685E">
        <w:rPr>
          <w:rStyle w:val="Refdenotaderodap"/>
        </w:rPr>
        <w:footnoteReference w:customMarkFollows="1" w:id="1"/>
        <w:sym w:font="Symbol" w:char="F02A"/>
      </w:r>
    </w:p>
    <w:p w14:paraId="2601138E" w14:textId="77777777" w:rsidR="00F16388" w:rsidRDefault="00000000" w:rsidP="00B42463">
      <w:pPr>
        <w:spacing w:before="1" w:after="360" w:line="254" w:lineRule="auto"/>
        <w:ind w:left="4638" w:right="119" w:hanging="11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Altera a Instrução Normativa nº 172/2022, que dispõe sobre a forma e a composição da Prestação de Contas de Prefeitos Municipais, nos termos do art. 216, § 2º, do Regimento Interno.</w:t>
      </w:r>
    </w:p>
    <w:p w14:paraId="7518921C" w14:textId="77777777" w:rsidR="00F16388" w:rsidRDefault="00000000">
      <w:pPr>
        <w:pStyle w:val="Ttulo1"/>
        <w:ind w:left="1803"/>
        <w:rPr>
          <w:rFonts w:ascii="Arial MT" w:hAnsi="Arial MT"/>
          <w:b w:val="0"/>
        </w:rPr>
      </w:pPr>
      <w:r>
        <w:t>O</w:t>
      </w:r>
      <w:r>
        <w:rPr>
          <w:spacing w:val="-6"/>
        </w:rPr>
        <w:t xml:space="preserve"> </w:t>
      </w:r>
      <w:r>
        <w:t>TRIBUNAL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PARANÁ</w:t>
      </w:r>
      <w:r>
        <w:rPr>
          <w:rFonts w:ascii="Arial MT" w:hAnsi="Arial MT"/>
          <w:b w:val="0"/>
        </w:rPr>
        <w:t>,</w:t>
      </w:r>
      <w:r>
        <w:rPr>
          <w:rFonts w:ascii="Arial MT" w:hAnsi="Arial MT"/>
          <w:b w:val="0"/>
          <w:spacing w:val="-3"/>
        </w:rPr>
        <w:t xml:space="preserve"> </w:t>
      </w:r>
      <w:r>
        <w:rPr>
          <w:rFonts w:ascii="Arial MT" w:hAnsi="Arial MT"/>
          <w:b w:val="0"/>
        </w:rPr>
        <w:t>no</w:t>
      </w:r>
      <w:r>
        <w:rPr>
          <w:rFonts w:ascii="Arial MT" w:hAnsi="Arial MT"/>
          <w:b w:val="0"/>
          <w:spacing w:val="-3"/>
        </w:rPr>
        <w:t xml:space="preserve"> </w:t>
      </w:r>
      <w:r>
        <w:rPr>
          <w:rFonts w:ascii="Arial MT" w:hAnsi="Arial MT"/>
          <w:b w:val="0"/>
          <w:spacing w:val="-5"/>
        </w:rPr>
        <w:t>uso</w:t>
      </w:r>
    </w:p>
    <w:p w14:paraId="04B8A03A" w14:textId="0F78BAEE" w:rsidR="00B42463" w:rsidRDefault="00000000">
      <w:pPr>
        <w:pStyle w:val="Corpodetexto"/>
        <w:spacing w:before="19" w:line="256" w:lineRule="auto"/>
        <w:ind w:left="102" w:right="120"/>
        <w:jc w:val="both"/>
      </w:pPr>
      <w:r>
        <w:t xml:space="preserve">das atribuições institucionais estabelecidas na Constituição do Estado, e com base nos arts. 2º, I, da Lei Complementar nº 113, de 15 de dezembro de 2005, </w:t>
      </w:r>
    </w:p>
    <w:p w14:paraId="4AAA237F" w14:textId="75D4EDED" w:rsidR="00F16388" w:rsidRDefault="00000000">
      <w:pPr>
        <w:pStyle w:val="Corpodetexto"/>
        <w:spacing w:before="19" w:line="256" w:lineRule="auto"/>
        <w:ind w:left="102" w:right="120"/>
        <w:jc w:val="both"/>
      </w:pPr>
      <w:r>
        <w:t>e nos</w:t>
      </w:r>
      <w:r>
        <w:rPr>
          <w:spacing w:val="-3"/>
        </w:rPr>
        <w:t xml:space="preserve"> </w:t>
      </w:r>
      <w:r>
        <w:t>arts. 5º, XIII,</w:t>
      </w:r>
      <w:r>
        <w:rPr>
          <w:spacing w:val="-2"/>
        </w:rPr>
        <w:t xml:space="preserve"> </w:t>
      </w:r>
      <w:r>
        <w:t>193</w:t>
      </w:r>
      <w:r>
        <w:rPr>
          <w:spacing w:val="-2"/>
        </w:rPr>
        <w:t xml:space="preserve"> </w:t>
      </w:r>
      <w:r>
        <w:t>a 196,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216, §2º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Regimento</w:t>
      </w:r>
      <w:r>
        <w:rPr>
          <w:spacing w:val="-2"/>
        </w:rPr>
        <w:t xml:space="preserve"> </w:t>
      </w:r>
      <w:r>
        <w:t>Interno, e considerando o</w:t>
      </w:r>
      <w:r>
        <w:rPr>
          <w:spacing w:val="-3"/>
        </w:rPr>
        <w:t xml:space="preserve"> </w:t>
      </w:r>
      <w:r>
        <w:t>Acórdão nº 713/24 - Tribunal Pleno, Processo nº 107735/24,</w:t>
      </w:r>
    </w:p>
    <w:p w14:paraId="0C62606C" w14:textId="77777777" w:rsidR="00F16388" w:rsidRDefault="00000000" w:rsidP="0098309F">
      <w:pPr>
        <w:pStyle w:val="Ttulo1"/>
        <w:spacing w:before="240" w:after="240"/>
        <w:ind w:left="1242"/>
      </w:pPr>
      <w:r>
        <w:rPr>
          <w:spacing w:val="-2"/>
        </w:rPr>
        <w:t>RESOLVE:</w:t>
      </w:r>
    </w:p>
    <w:p w14:paraId="3A54FA83" w14:textId="77777777" w:rsidR="00F16388" w:rsidRDefault="00000000">
      <w:pPr>
        <w:pStyle w:val="Corpodetexto"/>
        <w:spacing w:before="1"/>
        <w:ind w:left="1234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1º</w:t>
      </w:r>
      <w:r>
        <w:rPr>
          <w:rFonts w:ascii="Arial" w:hAnsi="Arial"/>
          <w:b/>
          <w:spacing w:val="7"/>
        </w:rPr>
        <w:t xml:space="preserve"> </w:t>
      </w:r>
      <w:r>
        <w:t>Fica</w:t>
      </w:r>
      <w:r>
        <w:rPr>
          <w:spacing w:val="5"/>
        </w:rPr>
        <w:t xml:space="preserve"> </w:t>
      </w:r>
      <w:r>
        <w:t>incluído</w:t>
      </w:r>
      <w:r>
        <w:rPr>
          <w:spacing w:val="8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art.</w:t>
      </w:r>
      <w:r>
        <w:rPr>
          <w:spacing w:val="5"/>
        </w:rPr>
        <w:t xml:space="preserve"> </w:t>
      </w:r>
      <w:r>
        <w:t>7º</w:t>
      </w:r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Instrução</w:t>
      </w:r>
      <w:r>
        <w:rPr>
          <w:spacing w:val="3"/>
        </w:rPr>
        <w:t xml:space="preserve"> </w:t>
      </w:r>
      <w:r>
        <w:t>Normativa</w:t>
      </w:r>
      <w:r>
        <w:rPr>
          <w:spacing w:val="6"/>
        </w:rPr>
        <w:t xml:space="preserve"> </w:t>
      </w:r>
      <w:r>
        <w:t>nº</w:t>
      </w:r>
      <w:r>
        <w:rPr>
          <w:spacing w:val="6"/>
        </w:rPr>
        <w:t xml:space="preserve"> </w:t>
      </w:r>
      <w:r>
        <w:t>172/2022</w:t>
      </w:r>
      <w:r>
        <w:rPr>
          <w:spacing w:val="6"/>
        </w:rPr>
        <w:t xml:space="preserve"> </w:t>
      </w:r>
      <w:r>
        <w:rPr>
          <w:spacing w:val="-10"/>
        </w:rPr>
        <w:t>o</w:t>
      </w:r>
    </w:p>
    <w:p w14:paraId="691B4017" w14:textId="77777777" w:rsidR="00F16388" w:rsidRDefault="00000000">
      <w:pPr>
        <w:pStyle w:val="Corpodetexto"/>
        <w:spacing w:before="9"/>
        <w:ind w:left="111"/>
        <w:jc w:val="both"/>
      </w:pPr>
      <w:r>
        <w:t>§5º,</w:t>
      </w:r>
      <w:r>
        <w:rPr>
          <w:spacing w:val="-3"/>
        </w:rPr>
        <w:t xml:space="preserve"> </w:t>
      </w:r>
      <w:r>
        <w:t>com a</w:t>
      </w:r>
      <w:r>
        <w:rPr>
          <w:spacing w:val="-2"/>
        </w:rPr>
        <w:t xml:space="preserve"> </w:t>
      </w:r>
      <w:r>
        <w:t>seguinte</w:t>
      </w:r>
      <w:r>
        <w:rPr>
          <w:spacing w:val="-2"/>
        </w:rPr>
        <w:t xml:space="preserve"> redação:</w:t>
      </w:r>
    </w:p>
    <w:p w14:paraId="55769DA7" w14:textId="77777777" w:rsidR="00F16388" w:rsidRDefault="00F16388">
      <w:pPr>
        <w:pStyle w:val="Corpodetexto"/>
        <w:spacing w:before="34"/>
      </w:pPr>
    </w:p>
    <w:p w14:paraId="428AEDB4" w14:textId="77777777" w:rsidR="00F16388" w:rsidRDefault="00000000">
      <w:pPr>
        <w:pStyle w:val="Corpodetexto"/>
        <w:ind w:left="1234"/>
        <w:jc w:val="both"/>
      </w:pPr>
      <w:r>
        <w:rPr>
          <w:u w:val="single"/>
        </w:rPr>
        <w:t>“Art.</w:t>
      </w:r>
      <w:r>
        <w:rPr>
          <w:spacing w:val="-2"/>
          <w:u w:val="single"/>
        </w:rPr>
        <w:t xml:space="preserve"> </w:t>
      </w:r>
      <w:r>
        <w:rPr>
          <w:u w:val="single"/>
        </w:rPr>
        <w:t>7º</w:t>
      </w:r>
      <w:r>
        <w:t xml:space="preserve"> </w:t>
      </w:r>
      <w:r>
        <w:rPr>
          <w:spacing w:val="-2"/>
        </w:rPr>
        <w:t>(...)</w:t>
      </w:r>
    </w:p>
    <w:p w14:paraId="66CDEAA7" w14:textId="77777777" w:rsidR="00F16388" w:rsidRDefault="00000000">
      <w:pPr>
        <w:pStyle w:val="Corpodetexto"/>
        <w:spacing w:before="120"/>
        <w:ind w:left="1234" w:right="121"/>
        <w:jc w:val="both"/>
      </w:pPr>
      <w:r>
        <w:t xml:space="preserve">§5º Em situações excepcionais, devidamente justificadas, o prazo para envio das respostas aos formulários definido na Agenda de Obrigações Municipais poderá ser prorrogado mediante Portaria da </w:t>
      </w:r>
      <w:r>
        <w:rPr>
          <w:spacing w:val="-2"/>
        </w:rPr>
        <w:t>Presidência.”</w:t>
      </w:r>
    </w:p>
    <w:p w14:paraId="04B007D3" w14:textId="77777777" w:rsidR="00F16388" w:rsidRDefault="00F16388">
      <w:pPr>
        <w:pStyle w:val="Corpodetexto"/>
        <w:spacing w:before="17"/>
      </w:pPr>
    </w:p>
    <w:p w14:paraId="7028E67E" w14:textId="77777777" w:rsidR="00F16388" w:rsidRDefault="00000000">
      <w:pPr>
        <w:pStyle w:val="Corpodetexto"/>
        <w:spacing w:line="249" w:lineRule="auto"/>
        <w:ind w:left="102" w:firstLine="1132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2º</w:t>
      </w:r>
      <w:r>
        <w:rPr>
          <w:rFonts w:ascii="Arial" w:hAnsi="Arial"/>
          <w:b/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inciso</w:t>
      </w:r>
      <w:r>
        <w:rPr>
          <w:spacing w:val="39"/>
        </w:rPr>
        <w:t xml:space="preserve"> </w:t>
      </w:r>
      <w:r>
        <w:t>III</w:t>
      </w:r>
      <w:r>
        <w:rPr>
          <w:spacing w:val="38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art.</w:t>
      </w:r>
      <w:r>
        <w:rPr>
          <w:spacing w:val="38"/>
        </w:rPr>
        <w:t xml:space="preserve"> </w:t>
      </w:r>
      <w:r>
        <w:t>4º</w:t>
      </w:r>
      <w:r>
        <w:rPr>
          <w:spacing w:val="39"/>
        </w:rPr>
        <w:t xml:space="preserve"> </w:t>
      </w:r>
      <w:r>
        <w:t>da</w:t>
      </w:r>
      <w:r>
        <w:rPr>
          <w:spacing w:val="39"/>
        </w:rPr>
        <w:t xml:space="preserve"> </w:t>
      </w:r>
      <w:r>
        <w:t>Instrução</w:t>
      </w:r>
      <w:r>
        <w:rPr>
          <w:spacing w:val="36"/>
        </w:rPr>
        <w:t xml:space="preserve"> </w:t>
      </w:r>
      <w:r>
        <w:t>Normativa</w:t>
      </w:r>
      <w:r>
        <w:rPr>
          <w:spacing w:val="40"/>
        </w:rPr>
        <w:t xml:space="preserve"> </w:t>
      </w:r>
      <w:r>
        <w:t>nº</w:t>
      </w:r>
      <w:r>
        <w:rPr>
          <w:spacing w:val="40"/>
        </w:rPr>
        <w:t xml:space="preserve"> </w:t>
      </w:r>
      <w:r>
        <w:t>172/2022 passa a vigorar com a seguinte redação:</w:t>
      </w:r>
    </w:p>
    <w:p w14:paraId="6C1F5C7E" w14:textId="77777777" w:rsidR="00F16388" w:rsidRDefault="00F16388">
      <w:pPr>
        <w:pStyle w:val="Corpodetexto"/>
        <w:spacing w:before="21"/>
      </w:pPr>
    </w:p>
    <w:p w14:paraId="0A2C3D32" w14:textId="77777777" w:rsidR="00F16388" w:rsidRDefault="00000000">
      <w:pPr>
        <w:pStyle w:val="Corpodetexto"/>
        <w:ind w:left="1234"/>
        <w:jc w:val="both"/>
      </w:pPr>
      <w:r>
        <w:t>“</w:t>
      </w:r>
      <w:r>
        <w:rPr>
          <w:u w:val="single"/>
        </w:rPr>
        <w:t>Art.</w:t>
      </w:r>
      <w:r>
        <w:rPr>
          <w:spacing w:val="-2"/>
          <w:u w:val="single"/>
        </w:rPr>
        <w:t xml:space="preserve"> </w:t>
      </w:r>
      <w:r>
        <w:rPr>
          <w:u w:val="single"/>
        </w:rPr>
        <w:t>4º</w:t>
      </w:r>
      <w:r>
        <w:rPr>
          <w:spacing w:val="2"/>
        </w:rPr>
        <w:t xml:space="preserve"> </w:t>
      </w:r>
      <w:r>
        <w:rPr>
          <w:spacing w:val="-2"/>
        </w:rPr>
        <w:t>(...)</w:t>
      </w:r>
    </w:p>
    <w:p w14:paraId="5E345E89" w14:textId="77777777" w:rsidR="00F16388" w:rsidRDefault="00000000">
      <w:pPr>
        <w:pStyle w:val="Corpodetexto"/>
        <w:spacing w:before="17" w:line="249" w:lineRule="auto"/>
        <w:ind w:left="1234" w:right="140"/>
        <w:jc w:val="both"/>
      </w:pPr>
      <w:r>
        <w:t>III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análise</w:t>
      </w:r>
      <w:r>
        <w:rPr>
          <w:spacing w:val="-3"/>
        </w:rPr>
        <w:t xml:space="preserve"> </w:t>
      </w:r>
      <w:r>
        <w:t>inicial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Relator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concessão,</w:t>
      </w:r>
      <w:r>
        <w:rPr>
          <w:spacing w:val="-4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necessário,</w:t>
      </w:r>
      <w:r>
        <w:rPr>
          <w:spacing w:val="-1"/>
        </w:rPr>
        <w:t xml:space="preserve"> </w:t>
      </w:r>
      <w:r>
        <w:t>do contraditório;” (NR)</w:t>
      </w:r>
    </w:p>
    <w:p w14:paraId="1A1B9087" w14:textId="77777777" w:rsidR="00F16388" w:rsidRDefault="00F16388">
      <w:pPr>
        <w:pStyle w:val="Corpodetexto"/>
        <w:spacing w:before="24"/>
      </w:pPr>
    </w:p>
    <w:p w14:paraId="2E844DF5" w14:textId="77777777" w:rsidR="00F16388" w:rsidRDefault="00000000">
      <w:pPr>
        <w:pStyle w:val="Corpodetexto"/>
        <w:spacing w:line="249" w:lineRule="auto"/>
        <w:ind w:left="102" w:firstLine="1132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3º</w:t>
      </w:r>
      <w:r>
        <w:rPr>
          <w:rFonts w:ascii="Arial" w:hAnsi="Arial"/>
          <w:b/>
          <w:spacing w:val="34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Capítulo</w:t>
      </w:r>
      <w:r>
        <w:rPr>
          <w:spacing w:val="33"/>
        </w:rPr>
        <w:t xml:space="preserve"> </w:t>
      </w:r>
      <w:r>
        <w:t>V</w:t>
      </w:r>
      <w:r>
        <w:rPr>
          <w:spacing w:val="33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Instrução</w:t>
      </w:r>
      <w:r>
        <w:rPr>
          <w:spacing w:val="33"/>
        </w:rPr>
        <w:t xml:space="preserve"> </w:t>
      </w:r>
      <w:r>
        <w:t>Normativa</w:t>
      </w:r>
      <w:r>
        <w:rPr>
          <w:spacing w:val="33"/>
        </w:rPr>
        <w:t xml:space="preserve"> </w:t>
      </w:r>
      <w:r>
        <w:t>nº</w:t>
      </w:r>
      <w:r>
        <w:rPr>
          <w:spacing w:val="33"/>
        </w:rPr>
        <w:t xml:space="preserve"> </w:t>
      </w:r>
      <w:r>
        <w:t>172/2022</w:t>
      </w:r>
      <w:r>
        <w:rPr>
          <w:spacing w:val="38"/>
        </w:rPr>
        <w:t xml:space="preserve"> </w:t>
      </w:r>
      <w:r>
        <w:t>passa</w:t>
      </w:r>
      <w:r>
        <w:rPr>
          <w:spacing w:val="30"/>
        </w:rPr>
        <w:t xml:space="preserve"> </w:t>
      </w:r>
      <w:r>
        <w:t>a vigorar com a seguinte redação:</w:t>
      </w:r>
    </w:p>
    <w:p w14:paraId="24AF6B59" w14:textId="77777777" w:rsidR="00F16388" w:rsidRDefault="00F16388">
      <w:pPr>
        <w:pStyle w:val="Corpodetexto"/>
        <w:spacing w:before="21"/>
      </w:pPr>
    </w:p>
    <w:p w14:paraId="78B609C6" w14:textId="77777777" w:rsidR="00F16388" w:rsidRDefault="00000000">
      <w:pPr>
        <w:pStyle w:val="Ttulo1"/>
        <w:spacing w:before="1"/>
        <w:ind w:right="36"/>
        <w:jc w:val="center"/>
      </w:pPr>
      <w:r>
        <w:t>“CAPÍTULO</w:t>
      </w:r>
      <w:r>
        <w:rPr>
          <w:spacing w:val="-6"/>
        </w:rPr>
        <w:t xml:space="preserve"> </w:t>
      </w:r>
      <w:r>
        <w:rPr>
          <w:spacing w:val="-10"/>
        </w:rPr>
        <w:t>V</w:t>
      </w:r>
    </w:p>
    <w:p w14:paraId="7AA1E5F7" w14:textId="77777777" w:rsidR="00F16388" w:rsidRDefault="00000000">
      <w:pPr>
        <w:spacing w:before="16"/>
        <w:ind w:right="34"/>
        <w:jc w:val="center"/>
        <w:rPr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20"/>
          <w:sz w:val="24"/>
        </w:rPr>
        <w:t xml:space="preserve"> </w:t>
      </w:r>
      <w:r>
        <w:rPr>
          <w:rFonts w:ascii="Arial" w:hAnsi="Arial"/>
          <w:b/>
          <w:sz w:val="24"/>
        </w:rPr>
        <w:t>ANÁLISE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INICIAL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RELATOR”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spacing w:val="-4"/>
          <w:sz w:val="24"/>
        </w:rPr>
        <w:t>(NR)</w:t>
      </w:r>
    </w:p>
    <w:p w14:paraId="30002A72" w14:textId="77777777" w:rsidR="00F16388" w:rsidRDefault="00F16388">
      <w:pPr>
        <w:pStyle w:val="Corpodetexto"/>
        <w:spacing w:before="34"/>
      </w:pPr>
    </w:p>
    <w:p w14:paraId="116918AE" w14:textId="77777777" w:rsidR="00F16388" w:rsidRDefault="00000000">
      <w:pPr>
        <w:pStyle w:val="Corpodetexto"/>
        <w:spacing w:line="249" w:lineRule="auto"/>
        <w:ind w:left="102" w:right="139" w:firstLine="1132"/>
      </w:pPr>
      <w:r>
        <w:rPr>
          <w:rFonts w:ascii="Arial" w:hAnsi="Arial"/>
          <w:b/>
        </w:rPr>
        <w:t xml:space="preserve">Art. 4º </w:t>
      </w:r>
      <w:r>
        <w:t>Renumera-se para Anexo I o Anexo da Instrução Normativa nº 172/2022, que diz respeito ao escopo de análise.</w:t>
      </w:r>
    </w:p>
    <w:p w14:paraId="07E486B5" w14:textId="77777777" w:rsidR="00F16388" w:rsidRDefault="00F16388">
      <w:pPr>
        <w:spacing w:line="249" w:lineRule="auto"/>
        <w:sectPr w:rsidR="00F16388" w:rsidSect="00AF2138">
          <w:headerReference w:type="default" r:id="rId8"/>
          <w:footerReference w:type="default" r:id="rId9"/>
          <w:type w:val="continuous"/>
          <w:pgSz w:w="11910" w:h="16840"/>
          <w:pgMar w:top="1900" w:right="1580" w:bottom="580" w:left="1600" w:header="463" w:footer="385" w:gutter="0"/>
          <w:pgNumType w:start="1"/>
          <w:cols w:space="720"/>
        </w:sectPr>
      </w:pPr>
    </w:p>
    <w:p w14:paraId="651089C5" w14:textId="77777777" w:rsidR="00F16388" w:rsidRDefault="00000000">
      <w:pPr>
        <w:pStyle w:val="Corpodetexto"/>
        <w:spacing w:before="82" w:line="249" w:lineRule="auto"/>
        <w:ind w:left="102" w:firstLine="1132"/>
      </w:pPr>
      <w:r>
        <w:rPr>
          <w:rFonts w:ascii="Arial" w:hAnsi="Arial"/>
          <w:b/>
        </w:rPr>
        <w:lastRenderedPageBreak/>
        <w:t>Art.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5º</w:t>
      </w:r>
      <w:r>
        <w:rPr>
          <w:rFonts w:ascii="Arial" w:hAnsi="Arial"/>
          <w:b/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Anexo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Instrução</w:t>
      </w:r>
      <w:r>
        <w:rPr>
          <w:spacing w:val="40"/>
        </w:rPr>
        <w:t xml:space="preserve"> </w:t>
      </w:r>
      <w:r>
        <w:t>Normativa</w:t>
      </w:r>
      <w:r>
        <w:rPr>
          <w:spacing w:val="40"/>
        </w:rPr>
        <w:t xml:space="preserve"> </w:t>
      </w:r>
      <w:r>
        <w:t>nº</w:t>
      </w:r>
      <w:r>
        <w:rPr>
          <w:spacing w:val="40"/>
        </w:rPr>
        <w:t xml:space="preserve"> </w:t>
      </w:r>
      <w:r>
        <w:t>172/2022</w:t>
      </w:r>
      <w:r>
        <w:rPr>
          <w:spacing w:val="40"/>
        </w:rPr>
        <w:t xml:space="preserve"> </w:t>
      </w:r>
      <w:r>
        <w:t>passa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vigorar nos termos constantes do</w:t>
      </w:r>
      <w:r>
        <w:rPr>
          <w:spacing w:val="-3"/>
        </w:rPr>
        <w:t xml:space="preserve"> </w:t>
      </w:r>
      <w:r>
        <w:t>Anexo I desta Instrução Normativa.</w:t>
      </w:r>
    </w:p>
    <w:p w14:paraId="4682375D" w14:textId="77777777" w:rsidR="00F16388" w:rsidRDefault="00F16388">
      <w:pPr>
        <w:pStyle w:val="Corpodetexto"/>
        <w:spacing w:before="23"/>
      </w:pPr>
    </w:p>
    <w:p w14:paraId="0C92BABD" w14:textId="77777777" w:rsidR="00F16388" w:rsidRDefault="00000000">
      <w:pPr>
        <w:pStyle w:val="Corpodetexto"/>
        <w:spacing w:line="249" w:lineRule="auto"/>
        <w:ind w:left="102" w:firstLine="1132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6º</w:t>
      </w:r>
      <w:r>
        <w:rPr>
          <w:rFonts w:ascii="Arial" w:hAnsi="Arial"/>
          <w:b/>
          <w:spacing w:val="80"/>
          <w:w w:val="150"/>
        </w:rPr>
        <w:t xml:space="preserve"> </w:t>
      </w:r>
      <w:r>
        <w:t>Acrescenta-se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Anexo</w:t>
      </w:r>
      <w:r>
        <w:rPr>
          <w:spacing w:val="80"/>
          <w:w w:val="150"/>
        </w:rPr>
        <w:t xml:space="preserve"> </w:t>
      </w:r>
      <w:r>
        <w:t>II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Instrução</w:t>
      </w:r>
      <w:r>
        <w:rPr>
          <w:spacing w:val="80"/>
          <w:w w:val="150"/>
        </w:rPr>
        <w:t xml:space="preserve"> </w:t>
      </w:r>
      <w:r>
        <w:t>Normativa</w:t>
      </w:r>
      <w:r>
        <w:rPr>
          <w:spacing w:val="80"/>
          <w:w w:val="150"/>
        </w:rPr>
        <w:t xml:space="preserve"> </w:t>
      </w:r>
      <w:r>
        <w:t>nº 172/2022, nos termos constante do</w:t>
      </w:r>
      <w:r>
        <w:rPr>
          <w:spacing w:val="-3"/>
        </w:rPr>
        <w:t xml:space="preserve"> </w:t>
      </w:r>
      <w:r>
        <w:t>Anexo II desta Instrução Normativa.</w:t>
      </w:r>
    </w:p>
    <w:p w14:paraId="741290DD" w14:textId="77777777" w:rsidR="00F16388" w:rsidRDefault="00F16388">
      <w:pPr>
        <w:pStyle w:val="Corpodetexto"/>
        <w:spacing w:before="21"/>
      </w:pPr>
    </w:p>
    <w:p w14:paraId="074C74EF" w14:textId="77777777" w:rsidR="00F16388" w:rsidRDefault="00000000">
      <w:pPr>
        <w:pStyle w:val="Corpodetexto"/>
        <w:spacing w:before="1"/>
        <w:ind w:left="1234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7º</w:t>
      </w:r>
      <w:r>
        <w:rPr>
          <w:rFonts w:ascii="Arial" w:hAnsi="Arial"/>
          <w:b/>
          <w:spacing w:val="5"/>
        </w:rPr>
        <w:t xml:space="preserve"> </w:t>
      </w:r>
      <w:r>
        <w:t>Fica</w:t>
      </w:r>
      <w:r>
        <w:rPr>
          <w:spacing w:val="3"/>
        </w:rPr>
        <w:t xml:space="preserve"> </w:t>
      </w:r>
      <w:r>
        <w:t>incluído no</w:t>
      </w:r>
      <w:r>
        <w:rPr>
          <w:spacing w:val="3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da Instrução</w:t>
      </w:r>
      <w:r>
        <w:rPr>
          <w:spacing w:val="-1"/>
        </w:rPr>
        <w:t xml:space="preserve"> </w:t>
      </w:r>
      <w:r>
        <w:t>Normativa</w:t>
      </w:r>
      <w:r>
        <w:rPr>
          <w:spacing w:val="3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172/2022</w:t>
      </w:r>
      <w:r>
        <w:rPr>
          <w:spacing w:val="3"/>
        </w:rPr>
        <w:t xml:space="preserve"> </w:t>
      </w:r>
      <w:r>
        <w:rPr>
          <w:spacing w:val="-10"/>
        </w:rPr>
        <w:t>o</w:t>
      </w:r>
    </w:p>
    <w:p w14:paraId="1B2EB80A" w14:textId="77777777" w:rsidR="00F16388" w:rsidRDefault="00000000">
      <w:pPr>
        <w:pStyle w:val="Corpodetexto"/>
        <w:spacing w:before="12"/>
        <w:ind w:left="102"/>
      </w:pPr>
      <w:r>
        <w:t>§1º-A,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seguinte</w:t>
      </w:r>
      <w:r>
        <w:rPr>
          <w:spacing w:val="-4"/>
        </w:rPr>
        <w:t xml:space="preserve"> </w:t>
      </w:r>
      <w:r>
        <w:rPr>
          <w:spacing w:val="-2"/>
        </w:rPr>
        <w:t>redação:</w:t>
      </w:r>
    </w:p>
    <w:p w14:paraId="6A57087C" w14:textId="77777777" w:rsidR="00F16388" w:rsidRDefault="00F16388">
      <w:pPr>
        <w:pStyle w:val="Corpodetexto"/>
        <w:spacing w:before="33"/>
      </w:pPr>
    </w:p>
    <w:p w14:paraId="27ED675F" w14:textId="77777777" w:rsidR="00F16388" w:rsidRDefault="00000000">
      <w:pPr>
        <w:pStyle w:val="Corpodetexto"/>
        <w:ind w:left="1234"/>
        <w:jc w:val="both"/>
      </w:pPr>
      <w:r>
        <w:rPr>
          <w:u w:val="single"/>
        </w:rPr>
        <w:t>“Art.</w:t>
      </w:r>
      <w:r>
        <w:rPr>
          <w:spacing w:val="-2"/>
          <w:u w:val="single"/>
        </w:rPr>
        <w:t xml:space="preserve"> </w:t>
      </w:r>
      <w:r>
        <w:rPr>
          <w:u w:val="single"/>
        </w:rPr>
        <w:t>26</w:t>
      </w:r>
      <w:r>
        <w:rPr>
          <w:spacing w:val="1"/>
        </w:rPr>
        <w:t xml:space="preserve"> </w:t>
      </w:r>
      <w:r>
        <w:rPr>
          <w:spacing w:val="-2"/>
        </w:rPr>
        <w:t>(...)</w:t>
      </w:r>
    </w:p>
    <w:p w14:paraId="59A377AF" w14:textId="77777777" w:rsidR="00F16388" w:rsidRDefault="00000000">
      <w:pPr>
        <w:pStyle w:val="Corpodetexto"/>
        <w:spacing w:line="249" w:lineRule="auto"/>
        <w:ind w:left="1234" w:right="136"/>
        <w:jc w:val="both"/>
      </w:pPr>
      <w:r>
        <w:t>§1º-A O Relator poderá utilizar os vetores estabelecidos no Anexo II desta Instrução Normativa, que possuem natureza meramente referencial, para subsidiar a análise objeto do parágrafo anterior.”</w:t>
      </w:r>
    </w:p>
    <w:p w14:paraId="6F335C0C" w14:textId="77777777" w:rsidR="00F16388" w:rsidRDefault="00F16388">
      <w:pPr>
        <w:pStyle w:val="Corpodetexto"/>
        <w:spacing w:before="23"/>
      </w:pPr>
    </w:p>
    <w:p w14:paraId="205F32A5" w14:textId="77777777" w:rsidR="00F16388" w:rsidRDefault="00000000">
      <w:pPr>
        <w:pStyle w:val="Corpodetexto"/>
        <w:ind w:left="1234"/>
        <w:jc w:val="both"/>
      </w:pPr>
      <w:r>
        <w:rPr>
          <w:rFonts w:ascii="Arial" w:hAnsi="Arial"/>
          <w:b/>
        </w:rPr>
        <w:t>Art. 8º</w:t>
      </w:r>
      <w:r>
        <w:rPr>
          <w:rFonts w:ascii="Arial" w:hAnsi="Arial"/>
          <w:b/>
          <w:spacing w:val="4"/>
        </w:rPr>
        <w:t xml:space="preserve"> </w:t>
      </w:r>
      <w:r>
        <w:t>Fica</w:t>
      </w:r>
      <w:r>
        <w:rPr>
          <w:spacing w:val="3"/>
        </w:rPr>
        <w:t xml:space="preserve"> </w:t>
      </w:r>
      <w:r>
        <w:t>incluído</w:t>
      </w:r>
      <w:r>
        <w:rPr>
          <w:spacing w:val="1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art. 21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Instrução Normativa</w:t>
      </w:r>
      <w:r>
        <w:rPr>
          <w:spacing w:val="3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172/2022</w:t>
      </w:r>
      <w:r>
        <w:rPr>
          <w:spacing w:val="3"/>
        </w:rPr>
        <w:t xml:space="preserve"> </w:t>
      </w:r>
      <w:r>
        <w:rPr>
          <w:spacing w:val="-10"/>
        </w:rPr>
        <w:t>o</w:t>
      </w:r>
    </w:p>
    <w:p w14:paraId="7F26A833" w14:textId="77777777" w:rsidR="00F16388" w:rsidRDefault="00000000">
      <w:pPr>
        <w:pStyle w:val="Corpodetexto"/>
        <w:spacing w:before="12"/>
        <w:ind w:left="102"/>
      </w:pPr>
      <w:r>
        <w:t>§4º,</w:t>
      </w:r>
      <w:r>
        <w:rPr>
          <w:spacing w:val="-3"/>
        </w:rPr>
        <w:t xml:space="preserve"> </w:t>
      </w:r>
      <w:r>
        <w:t>com a</w:t>
      </w:r>
      <w:r>
        <w:rPr>
          <w:spacing w:val="-2"/>
        </w:rPr>
        <w:t xml:space="preserve"> </w:t>
      </w:r>
      <w:r>
        <w:t>seguinte</w:t>
      </w:r>
      <w:r>
        <w:rPr>
          <w:spacing w:val="-2"/>
        </w:rPr>
        <w:t xml:space="preserve"> redação:</w:t>
      </w:r>
    </w:p>
    <w:p w14:paraId="090F9894" w14:textId="77777777" w:rsidR="00F16388" w:rsidRDefault="00F16388">
      <w:pPr>
        <w:pStyle w:val="Corpodetexto"/>
        <w:spacing w:before="34"/>
      </w:pPr>
    </w:p>
    <w:p w14:paraId="365D168B" w14:textId="77777777" w:rsidR="00F16388" w:rsidRDefault="00000000">
      <w:pPr>
        <w:pStyle w:val="Corpodetexto"/>
        <w:ind w:left="1234"/>
        <w:jc w:val="both"/>
      </w:pPr>
      <w:r>
        <w:rPr>
          <w:u w:val="single"/>
        </w:rPr>
        <w:t>“Art.</w:t>
      </w:r>
      <w:r>
        <w:rPr>
          <w:spacing w:val="-2"/>
          <w:u w:val="single"/>
        </w:rPr>
        <w:t xml:space="preserve"> </w:t>
      </w:r>
      <w:r>
        <w:rPr>
          <w:u w:val="single"/>
        </w:rPr>
        <w:t>21</w:t>
      </w:r>
      <w:r>
        <w:rPr>
          <w:spacing w:val="2"/>
        </w:rPr>
        <w:t xml:space="preserve"> </w:t>
      </w:r>
      <w:r>
        <w:rPr>
          <w:spacing w:val="-2"/>
        </w:rPr>
        <w:t>(...)</w:t>
      </w:r>
    </w:p>
    <w:p w14:paraId="2C36B5DA" w14:textId="77777777" w:rsidR="00F16388" w:rsidRDefault="00000000">
      <w:pPr>
        <w:pStyle w:val="Corpodetexto"/>
        <w:spacing w:line="249" w:lineRule="auto"/>
        <w:ind w:left="1234" w:right="131"/>
        <w:jc w:val="both"/>
      </w:pPr>
      <w:r>
        <w:t xml:space="preserve">§4º A Coordenadoria-Geral de Fiscalização, por meio de Nota Técnica, divulgará a média geral, por área, das notas de todos os </w:t>
      </w:r>
      <w:r>
        <w:rPr>
          <w:spacing w:val="-2"/>
        </w:rPr>
        <w:t>Municípios.”</w:t>
      </w:r>
    </w:p>
    <w:p w14:paraId="49EB407D" w14:textId="77777777" w:rsidR="00F16388" w:rsidRDefault="00F16388">
      <w:pPr>
        <w:pStyle w:val="Corpodetexto"/>
        <w:spacing w:before="22"/>
      </w:pPr>
    </w:p>
    <w:p w14:paraId="6115E283" w14:textId="77777777" w:rsidR="00F16388" w:rsidRDefault="00000000">
      <w:pPr>
        <w:pStyle w:val="Corpodetexto"/>
        <w:spacing w:line="249" w:lineRule="auto"/>
        <w:ind w:left="102" w:firstLine="1132"/>
      </w:pPr>
      <w:r>
        <w:rPr>
          <w:rFonts w:ascii="Arial" w:hAnsi="Arial"/>
          <w:b/>
        </w:rPr>
        <w:t xml:space="preserve">Art. 9º </w:t>
      </w:r>
      <w:r>
        <w:t>O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Instrução</w:t>
      </w:r>
      <w:r>
        <w:rPr>
          <w:spacing w:val="-1"/>
        </w:rPr>
        <w:t xml:space="preserve"> </w:t>
      </w:r>
      <w:r>
        <w:t>Normativa nº</w:t>
      </w:r>
      <w:r>
        <w:rPr>
          <w:spacing w:val="-1"/>
        </w:rPr>
        <w:t xml:space="preserve"> </w:t>
      </w:r>
      <w:r>
        <w:t>172/2022 passa</w:t>
      </w:r>
      <w:r>
        <w:rPr>
          <w:spacing w:val="-1"/>
        </w:rPr>
        <w:t xml:space="preserve"> </w:t>
      </w:r>
      <w:r>
        <w:t>a vigorar com a seguinte redação:</w:t>
      </w:r>
    </w:p>
    <w:p w14:paraId="1F9F9309" w14:textId="77777777" w:rsidR="00F16388" w:rsidRDefault="00F16388">
      <w:pPr>
        <w:pStyle w:val="Corpodetexto"/>
        <w:spacing w:before="21"/>
      </w:pPr>
    </w:p>
    <w:p w14:paraId="47D872C5" w14:textId="77777777" w:rsidR="00F16388" w:rsidRDefault="00000000">
      <w:pPr>
        <w:pStyle w:val="Corpodetexto"/>
        <w:spacing w:before="1" w:line="249" w:lineRule="auto"/>
        <w:ind w:left="1234" w:right="133"/>
        <w:jc w:val="both"/>
      </w:pPr>
      <w:r>
        <w:t>“Art. 24 O escopo de análise do opinativo previsto nesta seção será composto pelos itens de análise dispostos no anexo I desta</w:t>
      </w:r>
      <w:r>
        <w:rPr>
          <w:spacing w:val="40"/>
        </w:rPr>
        <w:t xml:space="preserve"> </w:t>
      </w:r>
      <w:r>
        <w:t>Instrução Normativa.” (NR)</w:t>
      </w:r>
    </w:p>
    <w:p w14:paraId="55B7D9BD" w14:textId="77777777" w:rsidR="00F16388" w:rsidRDefault="00F16388">
      <w:pPr>
        <w:pStyle w:val="Corpodetexto"/>
        <w:spacing w:before="24"/>
      </w:pPr>
    </w:p>
    <w:p w14:paraId="09291044" w14:textId="77777777" w:rsidR="00F16388" w:rsidRDefault="00000000">
      <w:pPr>
        <w:pStyle w:val="Corpodetexto"/>
        <w:spacing w:line="247" w:lineRule="auto"/>
        <w:ind w:left="102" w:firstLine="1132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10</w:t>
      </w:r>
      <w:r>
        <w:rPr>
          <w:rFonts w:ascii="Arial" w:hAnsi="Arial"/>
          <w:b/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parágrafo</w:t>
      </w:r>
      <w:r>
        <w:rPr>
          <w:spacing w:val="80"/>
        </w:rPr>
        <w:t xml:space="preserve"> </w:t>
      </w:r>
      <w:r>
        <w:t>1º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art.</w:t>
      </w:r>
      <w:r>
        <w:rPr>
          <w:spacing w:val="80"/>
        </w:rPr>
        <w:t xml:space="preserve"> </w:t>
      </w:r>
      <w:r>
        <w:t>25</w:t>
      </w:r>
      <w:r>
        <w:rPr>
          <w:spacing w:val="80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t>Instrução</w:t>
      </w:r>
      <w:r>
        <w:rPr>
          <w:spacing w:val="80"/>
        </w:rPr>
        <w:t xml:space="preserve"> </w:t>
      </w:r>
      <w:r>
        <w:t>Normativa</w:t>
      </w:r>
      <w:r>
        <w:rPr>
          <w:spacing w:val="80"/>
        </w:rPr>
        <w:t xml:space="preserve"> </w:t>
      </w:r>
      <w:r>
        <w:t>nº 172/2022 passa a vigorar com a seguinte redação:</w:t>
      </w:r>
    </w:p>
    <w:p w14:paraId="0761A3B3" w14:textId="77777777" w:rsidR="00F16388" w:rsidRDefault="00F16388">
      <w:pPr>
        <w:pStyle w:val="Corpodetexto"/>
        <w:spacing w:before="27"/>
      </w:pPr>
    </w:p>
    <w:p w14:paraId="47D1B6D6" w14:textId="77777777" w:rsidR="00F16388" w:rsidRDefault="00000000">
      <w:pPr>
        <w:pStyle w:val="Corpodetexto"/>
        <w:ind w:left="1234"/>
        <w:jc w:val="both"/>
      </w:pPr>
      <w:r>
        <w:rPr>
          <w:u w:val="single"/>
        </w:rPr>
        <w:t>“Art.</w:t>
      </w:r>
      <w:r>
        <w:rPr>
          <w:spacing w:val="-2"/>
          <w:u w:val="single"/>
        </w:rPr>
        <w:t xml:space="preserve"> </w:t>
      </w:r>
      <w:r>
        <w:rPr>
          <w:u w:val="single"/>
        </w:rPr>
        <w:t>25</w:t>
      </w:r>
      <w:r>
        <w:rPr>
          <w:spacing w:val="2"/>
        </w:rPr>
        <w:t xml:space="preserve"> </w:t>
      </w:r>
      <w:r>
        <w:rPr>
          <w:spacing w:val="-2"/>
        </w:rPr>
        <w:t>(...)</w:t>
      </w:r>
    </w:p>
    <w:p w14:paraId="535FFB0B" w14:textId="77777777" w:rsidR="00F16388" w:rsidRDefault="00000000">
      <w:pPr>
        <w:pStyle w:val="Corpodetexto"/>
        <w:spacing w:line="249" w:lineRule="auto"/>
        <w:ind w:left="1234" w:right="139"/>
        <w:jc w:val="both"/>
      </w:pPr>
      <w:r>
        <w:t>§ 1º Apontada a inobservância de quaisquer dos itens de análise</w:t>
      </w:r>
      <w:r>
        <w:rPr>
          <w:spacing w:val="40"/>
        </w:rPr>
        <w:t xml:space="preserve"> </w:t>
      </w:r>
      <w:r>
        <w:t>que compõem o escopo estabelecido no anexo I desta Instrução Normativa, o opinativo de que trata este artigo será pela irregularidade.” (NR)</w:t>
      </w:r>
    </w:p>
    <w:p w14:paraId="242EC3E4" w14:textId="77777777" w:rsidR="00F16388" w:rsidRDefault="00F16388">
      <w:pPr>
        <w:pStyle w:val="Corpodetexto"/>
        <w:spacing w:before="25"/>
      </w:pPr>
    </w:p>
    <w:p w14:paraId="311DD513" w14:textId="77777777" w:rsidR="00F16388" w:rsidRDefault="00000000">
      <w:pPr>
        <w:pStyle w:val="Corpodetexto"/>
        <w:spacing w:line="259" w:lineRule="auto"/>
        <w:ind w:left="111" w:firstLine="1123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11</w:t>
      </w:r>
      <w:r>
        <w:rPr>
          <w:rFonts w:ascii="Arial" w:hAnsi="Arial"/>
          <w:b/>
          <w:spacing w:val="40"/>
        </w:rPr>
        <w:t xml:space="preserve"> </w:t>
      </w:r>
      <w:r>
        <w:t>Esta</w:t>
      </w:r>
      <w:r>
        <w:rPr>
          <w:spacing w:val="40"/>
        </w:rPr>
        <w:t xml:space="preserve"> </w:t>
      </w:r>
      <w:r>
        <w:t>Instrução</w:t>
      </w:r>
      <w:r>
        <w:rPr>
          <w:spacing w:val="40"/>
        </w:rPr>
        <w:t xml:space="preserve"> </w:t>
      </w:r>
      <w:r>
        <w:t>Normativa</w:t>
      </w:r>
      <w:r>
        <w:rPr>
          <w:spacing w:val="40"/>
        </w:rPr>
        <w:t xml:space="preserve"> </w:t>
      </w:r>
      <w:r>
        <w:t>entra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vigor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 xml:space="preserve">sua </w:t>
      </w:r>
      <w:r>
        <w:rPr>
          <w:spacing w:val="-2"/>
        </w:rPr>
        <w:t>publicação.</w:t>
      </w:r>
    </w:p>
    <w:p w14:paraId="60840C2C" w14:textId="77777777" w:rsidR="00F16388" w:rsidRDefault="00F16388">
      <w:pPr>
        <w:pStyle w:val="Corpodetexto"/>
        <w:spacing w:before="274"/>
      </w:pPr>
    </w:p>
    <w:p w14:paraId="44D3DEC2" w14:textId="77777777" w:rsidR="00F16388" w:rsidRDefault="00000000">
      <w:pPr>
        <w:pStyle w:val="Corpodetexto"/>
        <w:ind w:left="18" w:right="36"/>
        <w:jc w:val="center"/>
      </w:pPr>
      <w:r>
        <w:t>Curitiba,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2024.</w:t>
      </w:r>
    </w:p>
    <w:p w14:paraId="48AC69D5" w14:textId="77777777" w:rsidR="00F16388" w:rsidRDefault="00000000" w:rsidP="0098309F">
      <w:pPr>
        <w:pStyle w:val="Corpodetexto"/>
        <w:spacing w:before="240"/>
        <w:ind w:left="6" w:right="34"/>
        <w:jc w:val="center"/>
      </w:pPr>
      <w:r>
        <w:t>Conselheiro</w:t>
      </w:r>
      <w:r>
        <w:rPr>
          <w:spacing w:val="-7"/>
        </w:rPr>
        <w:t xml:space="preserve"> </w:t>
      </w:r>
      <w:r>
        <w:t>FERNANDO</w:t>
      </w:r>
      <w:r>
        <w:rPr>
          <w:spacing w:val="-17"/>
        </w:rPr>
        <w:t xml:space="preserve"> </w:t>
      </w:r>
      <w:r>
        <w:t>AUGUSTO</w:t>
      </w:r>
      <w:r>
        <w:rPr>
          <w:spacing w:val="-5"/>
        </w:rPr>
        <w:t xml:space="preserve"> </w:t>
      </w:r>
      <w:r>
        <w:t>MELLO</w:t>
      </w:r>
      <w:r>
        <w:rPr>
          <w:spacing w:val="-5"/>
        </w:rPr>
        <w:t xml:space="preserve"> </w:t>
      </w:r>
      <w:r>
        <w:rPr>
          <w:spacing w:val="-2"/>
        </w:rPr>
        <w:t>GUIMARÃES</w:t>
      </w:r>
    </w:p>
    <w:p w14:paraId="1964E68D" w14:textId="77777777" w:rsidR="00F16388" w:rsidRDefault="00000000">
      <w:pPr>
        <w:pStyle w:val="Corpodetexto"/>
        <w:ind w:left="4" w:right="36"/>
        <w:jc w:val="center"/>
      </w:pPr>
      <w:r>
        <w:t>Presidente</w:t>
      </w:r>
      <w:r>
        <w:rPr>
          <w:spacing w:val="-4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Tribunal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Contas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2"/>
        </w:rPr>
        <w:t>Paraná</w:t>
      </w:r>
    </w:p>
    <w:sectPr w:rsidR="00F16388">
      <w:pgSz w:w="11910" w:h="16840"/>
      <w:pgMar w:top="1900" w:right="1580" w:bottom="580" w:left="1600" w:header="463" w:footer="3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DFCBC" w14:textId="77777777" w:rsidR="00AF2138" w:rsidRDefault="00AF2138">
      <w:r>
        <w:separator/>
      </w:r>
    </w:p>
  </w:endnote>
  <w:endnote w:type="continuationSeparator" w:id="0">
    <w:p w14:paraId="0E4F08B0" w14:textId="77777777" w:rsidR="00AF2138" w:rsidRDefault="00AF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A35E" w14:textId="77777777" w:rsidR="00F16388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628D4DD4" wp14:editId="61EFB287">
              <wp:simplePos x="0" y="0"/>
              <wp:positionH relativeFrom="page">
                <wp:posOffset>431545</wp:posOffset>
              </wp:positionH>
              <wp:positionV relativeFrom="page">
                <wp:posOffset>10308308</wp:posOffset>
              </wp:positionV>
              <wp:extent cx="6697345" cy="2787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734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1ED30F" w14:textId="77777777" w:rsidR="00F16388" w:rsidRDefault="00000000">
                          <w:pPr>
                            <w:spacing w:before="14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F7F7F"/>
                              <w:sz w:val="16"/>
                            </w:rPr>
                            <w:t xml:space="preserve">DOCUMENTO E ASSINATURA(S) </w:t>
                          </w:r>
                          <w:r>
                            <w:rPr>
                              <w:rFonts w:ascii="Arial"/>
                              <w:b/>
                              <w:color w:val="7F7F7F"/>
                              <w:spacing w:val="-2"/>
                              <w:sz w:val="16"/>
                            </w:rPr>
                            <w:t>DIGITAIS</w:t>
                          </w:r>
                        </w:p>
                        <w:p w14:paraId="2393E4DB" w14:textId="77777777" w:rsidR="00F16388" w:rsidRDefault="00000000">
                          <w:pPr>
                            <w:spacing w:before="36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7F7F7F"/>
                              <w:sz w:val="16"/>
                            </w:rPr>
                            <w:t xml:space="preserve">AUTENTICIDADE E ORIGINAL DISPONÍVEIS NO ENDEREÇO </w:t>
                          </w: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7F7F7F"/>
                                <w:sz w:val="16"/>
                              </w:rPr>
                              <w:t>WWW.TCE.PR.GOV.BR,</w:t>
                            </w:r>
                          </w:hyperlink>
                          <w:r>
                            <w:rPr>
                              <w:rFonts w:ascii="Arial" w:hAnsi="Arial"/>
                              <w:b/>
                              <w:color w:val="7F7F7F"/>
                              <w:sz w:val="16"/>
                            </w:rPr>
                            <w:t xml:space="preserve"> MEDIANTE IDENTIFICADOR </w:t>
                          </w:r>
                          <w:r>
                            <w:rPr>
                              <w:rFonts w:ascii="Arial" w:hAnsi="Arial"/>
                              <w:b/>
                              <w:color w:val="7F7F7F"/>
                              <w:spacing w:val="-2"/>
                              <w:sz w:val="16"/>
                            </w:rPr>
                            <w:t>ZLYU.YI1A.EBFC.BRWQ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D4DD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4pt;margin-top:811.7pt;width:527.35pt;height:21.9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" filled="f" stroked="f">
              <v:textbox inset="0,0,0,0">
                <w:txbxContent>
                  <w:p w14:paraId="721ED30F" w14:textId="77777777" w:rsidR="00F16388" w:rsidRDefault="00000000">
                    <w:pPr>
                      <w:spacing w:before="14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7F7F7F"/>
                        <w:sz w:val="16"/>
                      </w:rPr>
                      <w:t xml:space="preserve">DOCUMENTO E ASSINATURA(S) </w:t>
                    </w:r>
                    <w:r>
                      <w:rPr>
                        <w:rFonts w:ascii="Arial"/>
                        <w:b/>
                        <w:color w:val="7F7F7F"/>
                        <w:spacing w:val="-2"/>
                        <w:sz w:val="16"/>
                      </w:rPr>
                      <w:t>DIGITAIS</w:t>
                    </w:r>
                  </w:p>
                  <w:p w14:paraId="2393E4DB" w14:textId="77777777" w:rsidR="00F16388" w:rsidRDefault="00000000">
                    <w:pPr>
                      <w:spacing w:before="36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7F7F7F"/>
                        <w:sz w:val="16"/>
                      </w:rPr>
                      <w:t xml:space="preserve">AUTENTICIDADE E ORIGINAL DISPONÍVEIS NO ENDEREÇO </w:t>
                    </w:r>
                    <w:hyperlink r:id="rId2">
                      <w:r>
                        <w:rPr>
                          <w:rFonts w:ascii="Arial" w:hAnsi="Arial"/>
                          <w:b/>
                          <w:color w:val="7F7F7F"/>
                          <w:sz w:val="16"/>
                        </w:rPr>
                        <w:t>WWW.TCE.PR.GOV.BR,</w:t>
                      </w:r>
                    </w:hyperlink>
                    <w:r>
                      <w:rPr>
                        <w:rFonts w:ascii="Arial" w:hAnsi="Arial"/>
                        <w:b/>
                        <w:color w:val="7F7F7F"/>
                        <w:sz w:val="16"/>
                      </w:rPr>
                      <w:t xml:space="preserve"> MEDIANTE IDENTIFICADOR </w:t>
                    </w:r>
                    <w:r>
                      <w:rPr>
                        <w:rFonts w:ascii="Arial" w:hAnsi="Arial"/>
                        <w:b/>
                        <w:color w:val="7F7F7F"/>
                        <w:spacing w:val="-2"/>
                        <w:sz w:val="16"/>
                      </w:rPr>
                      <w:t>ZLYU.YI1A.EBFC.BRWQ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6EDE" w14:textId="77777777" w:rsidR="00AF2138" w:rsidRDefault="00AF2138">
      <w:r>
        <w:separator/>
      </w:r>
    </w:p>
  </w:footnote>
  <w:footnote w:type="continuationSeparator" w:id="0">
    <w:p w14:paraId="171B823B" w14:textId="77777777" w:rsidR="00AF2138" w:rsidRDefault="00AF2138">
      <w:r>
        <w:continuationSeparator/>
      </w:r>
    </w:p>
  </w:footnote>
  <w:footnote w:id="1">
    <w:p w14:paraId="6DACC6DF" w14:textId="5484720A" w:rsidR="0065685E" w:rsidRPr="0098309F" w:rsidRDefault="0065685E" w:rsidP="0065685E">
      <w:pPr>
        <w:rPr>
          <w:rFonts w:ascii="Arial" w:eastAsia="Times New Roman" w:hAnsi="Arial" w:cs="Arial"/>
        </w:rPr>
      </w:pPr>
      <w:r w:rsidRPr="0098309F">
        <w:rPr>
          <w:rStyle w:val="Refdenotaderodap"/>
          <w:rFonts w:ascii="Arial" w:hAnsi="Arial" w:cs="Arial"/>
          <w:sz w:val="20"/>
          <w:szCs w:val="20"/>
        </w:rPr>
        <w:sym w:font="Symbol" w:char="F02A"/>
      </w:r>
      <w:r w:rsidRPr="0098309F">
        <w:rPr>
          <w:rFonts w:ascii="Arial" w:hAnsi="Arial" w:cs="Arial"/>
        </w:rPr>
        <w:t xml:space="preserve"> </w:t>
      </w:r>
      <w:r w:rsidRPr="0098309F">
        <w:rPr>
          <w:rFonts w:ascii="Arial" w:eastAsia="Times New Roman" w:hAnsi="Arial" w:cs="Arial"/>
          <w:b/>
        </w:rPr>
        <w:t>Notas da Biblioteca:</w:t>
      </w:r>
    </w:p>
    <w:p w14:paraId="18563EC4" w14:textId="71173C8B" w:rsidR="0065685E" w:rsidRPr="0098309F" w:rsidRDefault="0065685E" w:rsidP="00FF3342">
      <w:pPr>
        <w:widowControl/>
        <w:numPr>
          <w:ilvl w:val="0"/>
          <w:numId w:val="1"/>
        </w:numPr>
        <w:autoSpaceDE/>
        <w:autoSpaceDN/>
        <w:ind w:left="567"/>
        <w:jc w:val="both"/>
        <w:rPr>
          <w:rFonts w:ascii="Arial" w:eastAsia="Times New Roman" w:hAnsi="Arial" w:cs="Arial"/>
        </w:rPr>
      </w:pPr>
      <w:r w:rsidRPr="0098309F">
        <w:rPr>
          <w:rFonts w:ascii="Arial" w:eastAsia="Times New Roman" w:hAnsi="Arial" w:cs="Arial"/>
        </w:rPr>
        <w:t xml:space="preserve">Este texto não substitui o publicado no periódico: </w:t>
      </w:r>
      <w:hyperlink r:id="rId1" w:history="1">
        <w:r w:rsidRPr="0098309F">
          <w:rPr>
            <w:rStyle w:val="Hyperlink"/>
            <w:rFonts w:ascii="Arial" w:eastAsia="Times New Roman" w:hAnsi="Arial" w:cs="Arial"/>
            <w:b/>
            <w:bCs/>
          </w:rPr>
          <w:t>Diário Eletrônico do Tribunal de Contas do Estado do Paraná</w:t>
        </w:r>
        <w:r w:rsidRPr="0098309F">
          <w:rPr>
            <w:rStyle w:val="Hyperlink"/>
            <w:rFonts w:ascii="Arial" w:eastAsia="Times New Roman" w:hAnsi="Arial" w:cs="Arial"/>
          </w:rPr>
          <w:t>, Curitiba, PR, ano 19, n. 318</w:t>
        </w:r>
        <w:r w:rsidRPr="0098309F">
          <w:rPr>
            <w:rStyle w:val="Hyperlink"/>
            <w:rFonts w:ascii="Arial" w:eastAsia="Times New Roman" w:hAnsi="Arial" w:cs="Arial"/>
          </w:rPr>
          <w:t>8</w:t>
        </w:r>
        <w:r w:rsidRPr="0098309F">
          <w:rPr>
            <w:rStyle w:val="Hyperlink"/>
            <w:rFonts w:ascii="Arial" w:eastAsia="Times New Roman" w:hAnsi="Arial" w:cs="Arial"/>
          </w:rPr>
          <w:t xml:space="preserve">, </w:t>
        </w:r>
        <w:r w:rsidRPr="0098309F">
          <w:rPr>
            <w:rStyle w:val="Hyperlink"/>
            <w:rFonts w:ascii="Arial" w:eastAsia="Times New Roman" w:hAnsi="Arial" w:cs="Arial"/>
          </w:rPr>
          <w:t>1</w:t>
        </w:r>
        <w:r w:rsidRPr="0098309F">
          <w:rPr>
            <w:rStyle w:val="Hyperlink"/>
            <w:rFonts w:ascii="Arial" w:eastAsia="Times New Roman" w:hAnsi="Arial" w:cs="Arial"/>
          </w:rPr>
          <w:t xml:space="preserve">5 abr. 2024, p. </w:t>
        </w:r>
        <w:r w:rsidRPr="0098309F">
          <w:rPr>
            <w:rStyle w:val="Hyperlink"/>
            <w:rFonts w:ascii="Arial" w:eastAsia="Times New Roman" w:hAnsi="Arial" w:cs="Arial"/>
          </w:rPr>
          <w:t>44</w:t>
        </w:r>
        <w:r w:rsidRPr="0098309F">
          <w:rPr>
            <w:rStyle w:val="Hyperlink"/>
            <w:rFonts w:ascii="Arial" w:eastAsia="Times New Roman" w:hAnsi="Arial" w:cs="Arial"/>
          </w:rPr>
          <w:t>.</w:t>
        </w:r>
      </w:hyperlink>
    </w:p>
    <w:p w14:paraId="3FB2B274" w14:textId="399877B0" w:rsidR="0065685E" w:rsidRPr="0098309F" w:rsidRDefault="0065685E" w:rsidP="00FF3342">
      <w:pPr>
        <w:widowControl/>
        <w:numPr>
          <w:ilvl w:val="0"/>
          <w:numId w:val="1"/>
        </w:numPr>
        <w:autoSpaceDE/>
        <w:autoSpaceDN/>
        <w:ind w:left="567"/>
        <w:jc w:val="both"/>
        <w:rPr>
          <w:rFonts w:ascii="Arial" w:eastAsia="Times New Roman" w:hAnsi="Arial" w:cs="Arial"/>
          <w:color w:val="0000FF"/>
          <w:u w:val="single"/>
        </w:rPr>
      </w:pPr>
      <w:r w:rsidRPr="0098309F">
        <w:rPr>
          <w:rFonts w:ascii="Arial" w:eastAsia="Times New Roman" w:hAnsi="Arial" w:cs="Arial"/>
          <w:color w:val="000000"/>
        </w:rPr>
        <w:t>Processo</w:t>
      </w:r>
      <w:r w:rsidR="0098309F" w:rsidRPr="0098309F">
        <w:rPr>
          <w:rFonts w:ascii="Arial" w:eastAsia="Times New Roman" w:hAnsi="Arial" w:cs="Arial"/>
          <w:color w:val="000000"/>
        </w:rPr>
        <w:t xml:space="preserve">: </w:t>
      </w:r>
      <w:r w:rsidR="0098309F" w:rsidRPr="0098309F">
        <w:rPr>
          <w:rFonts w:ascii="Arial" w:eastAsia="Times New Roman" w:hAnsi="Arial" w:cs="Arial"/>
        </w:rPr>
        <w:t>0107735/24 -</w:t>
      </w:r>
      <w:r w:rsidRPr="0098309F">
        <w:rPr>
          <w:rFonts w:ascii="Arial" w:eastAsia="Times New Roman" w:hAnsi="Arial" w:cs="Arial"/>
        </w:rPr>
        <w:t xml:space="preserve"> </w:t>
      </w:r>
      <w:hyperlink r:id="rId2" w:history="1">
        <w:r w:rsidRPr="0098309F">
          <w:rPr>
            <w:rStyle w:val="Hyperlink"/>
            <w:rFonts w:ascii="Arial" w:eastAsia="Times New Roman" w:hAnsi="Arial" w:cs="Arial"/>
          </w:rPr>
          <w:t>Acórdão nº 7</w:t>
        </w:r>
        <w:r w:rsidR="0098309F" w:rsidRPr="0098309F">
          <w:rPr>
            <w:rStyle w:val="Hyperlink"/>
            <w:rFonts w:ascii="Arial" w:eastAsia="Times New Roman" w:hAnsi="Arial" w:cs="Arial"/>
          </w:rPr>
          <w:t>13</w:t>
        </w:r>
        <w:r w:rsidRPr="0098309F">
          <w:rPr>
            <w:rStyle w:val="Hyperlink"/>
            <w:rFonts w:ascii="Arial" w:eastAsia="Times New Roman" w:hAnsi="Arial" w:cs="Arial"/>
          </w:rPr>
          <w:t>/2024 - Tribunal Pleno</w:t>
        </w:r>
      </w:hyperlink>
    </w:p>
    <w:p w14:paraId="4574F065" w14:textId="538AB437" w:rsidR="0065685E" w:rsidRPr="0098309F" w:rsidRDefault="0098309F" w:rsidP="00FF3342">
      <w:pPr>
        <w:widowControl/>
        <w:numPr>
          <w:ilvl w:val="0"/>
          <w:numId w:val="1"/>
        </w:numPr>
        <w:autoSpaceDE/>
        <w:autoSpaceDN/>
        <w:ind w:left="567"/>
        <w:jc w:val="both"/>
        <w:rPr>
          <w:rFonts w:ascii="Arial" w:eastAsia="Times New Roman" w:hAnsi="Arial" w:cs="Arial"/>
        </w:rPr>
      </w:pPr>
      <w:r w:rsidRPr="0098309F">
        <w:rPr>
          <w:rFonts w:ascii="Arial" w:eastAsia="Times New Roman" w:hAnsi="Arial" w:cs="Arial"/>
          <w:b/>
          <w:bCs/>
        </w:rPr>
        <w:t>Altera</w:t>
      </w:r>
      <w:r w:rsidR="0065685E" w:rsidRPr="0098309F">
        <w:rPr>
          <w:rFonts w:ascii="Arial" w:eastAsia="Times New Roman" w:hAnsi="Arial" w:cs="Arial"/>
        </w:rPr>
        <w:t>:</w:t>
      </w:r>
    </w:p>
    <w:p w14:paraId="32372DE1" w14:textId="2AEE820B" w:rsidR="0065685E" w:rsidRPr="0098309F" w:rsidRDefault="0098309F" w:rsidP="00FF3342">
      <w:pPr>
        <w:ind w:left="567"/>
        <w:jc w:val="both"/>
        <w:rPr>
          <w:rFonts w:ascii="Arial" w:eastAsia="Times New Roman" w:hAnsi="Arial" w:cs="Arial"/>
        </w:rPr>
      </w:pPr>
      <w:hyperlink r:id="rId3" w:history="1">
        <w:r w:rsidRPr="0098309F">
          <w:rPr>
            <w:rStyle w:val="Hyperlink"/>
            <w:rFonts w:ascii="Arial" w:eastAsia="Times New Roman" w:hAnsi="Arial" w:cs="Arial"/>
          </w:rPr>
          <w:t>Instrução Normativa n. 172, de 11 de julho de 2022.</w:t>
        </w:r>
      </w:hyperlink>
    </w:p>
    <w:p w14:paraId="09E7ECC1" w14:textId="77777777" w:rsidR="0065685E" w:rsidRPr="00944C06" w:rsidRDefault="0065685E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8B6C7" w14:textId="77777777" w:rsidR="00F16388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4080" behindDoc="1" locked="0" layoutInCell="1" allowOverlap="1" wp14:anchorId="1F97479C" wp14:editId="09A2E18D">
          <wp:simplePos x="0" y="0"/>
          <wp:positionH relativeFrom="page">
            <wp:posOffset>1092120</wp:posOffset>
          </wp:positionH>
          <wp:positionV relativeFrom="page">
            <wp:posOffset>294080</wp:posOffset>
          </wp:positionV>
          <wp:extent cx="557291" cy="69128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291" cy="6912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48B38257" wp14:editId="299C0C36">
              <wp:simplePos x="0" y="0"/>
              <wp:positionH relativeFrom="page">
                <wp:posOffset>2026666</wp:posOffset>
              </wp:positionH>
              <wp:positionV relativeFrom="page">
                <wp:posOffset>592454</wp:posOffset>
              </wp:positionV>
              <wp:extent cx="4218940" cy="2247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894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A0D031" w14:textId="77777777" w:rsidR="00F16388" w:rsidRDefault="00000000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TRIBUNAL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CONTAS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PARANÁ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3825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9.6pt;margin-top:46.65pt;width:332.2pt;height:17.7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" filled="f" stroked="f">
              <v:textbox inset="0,0,0,0">
                <w:txbxContent>
                  <w:p w14:paraId="43A0D031" w14:textId="77777777" w:rsidR="00F16388" w:rsidRDefault="00000000">
                    <w:pPr>
                      <w:spacing w:before="11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TRIBUNAL</w:t>
                    </w:r>
                    <w:r>
                      <w:rPr>
                        <w:rFonts w:ascii="Arial" w:hAnsi="Arial"/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CONTAS</w:t>
                    </w:r>
                    <w:r>
                      <w:rPr>
                        <w:rFonts w:ascii="Arial" w:hAnsi="Arial"/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PARANÁ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74506"/>
    <w:multiLevelType w:val="hybridMultilevel"/>
    <w:tmpl w:val="58DA0F4A"/>
    <w:lvl w:ilvl="0" w:tplc="E3A606C2">
      <w:start w:val="1"/>
      <w:numFmt w:val="lowerLetter"/>
      <w:lvlText w:val="%1)"/>
      <w:lvlJc w:val="left"/>
      <w:pPr>
        <w:ind w:left="1070" w:hanging="360"/>
      </w:pPr>
      <w:rPr>
        <w:rFonts w:cs="Times New Roman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 w16cid:durableId="7039915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88"/>
    <w:rsid w:val="004A2EF1"/>
    <w:rsid w:val="005A44DB"/>
    <w:rsid w:val="0065685E"/>
    <w:rsid w:val="00944C06"/>
    <w:rsid w:val="0098309F"/>
    <w:rsid w:val="00AF2138"/>
    <w:rsid w:val="00B42463"/>
    <w:rsid w:val="00F16388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AD33"/>
  <w15:docId w15:val="{B083DB89-48EA-4C8A-8049-7EF42A4A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1"/>
      <w:ind w:left="1758"/>
    </w:pPr>
    <w:rPr>
      <w:rFonts w:ascii="Arial" w:eastAsia="Arial" w:hAnsi="Arial" w:cs="Arial"/>
      <w:b/>
      <w:bCs/>
      <w:sz w:val="29"/>
      <w:szCs w:val="2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44C0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44C06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944C0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5685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6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CE.PR.GOV.BR/" TargetMode="External"/><Relationship Id="rId1" Type="http://schemas.openxmlformats.org/officeDocument/2006/relationships/hyperlink" Target="http://WWW.TCE.PR.GOV.BR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instrucao-normativa-n-172-de-11-de-julho-de-2022/342097/area/10" TargetMode="External"/><Relationship Id="rId2" Type="http://schemas.openxmlformats.org/officeDocument/2006/relationships/hyperlink" Target="https://www1.tce.pr.gov.br/multimidia/2024/4/pdf/00383382.pdf" TargetMode="External"/><Relationship Id="rId1" Type="http://schemas.openxmlformats.org/officeDocument/2006/relationships/hyperlink" Target="https://www1.tce.pr.gov.br/conteudo/diario-eletronico-3188-2024-de-15-de-abril-de-2024/353864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5337C-0512-4E27-B0B9-86DA37C0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 Falcão de Carvalho Nunes</dc:creator>
  <cp:lastModifiedBy>Alice Soria Garcia</cp:lastModifiedBy>
  <cp:revision>4</cp:revision>
  <dcterms:created xsi:type="dcterms:W3CDTF">2024-04-15T13:52:00Z</dcterms:created>
  <dcterms:modified xsi:type="dcterms:W3CDTF">2024-04-15T14:25:00Z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2024-04-15T00:00:00Z</vt:filetime>
  </property>
  <property fmtid="{D5CDD505-2E9C-101B-9397-08002B2CF9AE}" pid="5" name="Producer">
    <vt:lpwstr>Microsoft® Office Word 2007</vt:lpwstr>
  </property>
</Properties>
</file>