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290" w:rsidRPr="009D619B" w:rsidRDefault="00003A61" w:rsidP="00FE5290">
      <w:pPr>
        <w:pStyle w:val="Ttulo1"/>
        <w:rPr>
          <w:rFonts w:ascii="Arial" w:hAnsi="Arial" w:cs="Arial"/>
          <w:b/>
          <w:shadow/>
        </w:rPr>
      </w:pPr>
      <w:r w:rsidRPr="006E1964">
        <w:rPr>
          <w:rFonts w:ascii="Arial" w:hAnsi="Arial" w:cs="Arial"/>
          <w:b/>
          <w:sz w:val="28"/>
          <w:szCs w:val="28"/>
        </w:rPr>
        <w:t xml:space="preserve">INSTRUÇÃO </w:t>
      </w:r>
      <w:r w:rsidR="009A7BE7" w:rsidRPr="006E1964">
        <w:rPr>
          <w:rFonts w:ascii="Arial" w:hAnsi="Arial" w:cs="Arial"/>
          <w:b/>
          <w:sz w:val="28"/>
          <w:szCs w:val="28"/>
        </w:rPr>
        <w:t>DE SERVIÇO</w:t>
      </w:r>
      <w:r w:rsidR="00FE5290" w:rsidRPr="006E1964">
        <w:rPr>
          <w:rFonts w:ascii="Arial" w:hAnsi="Arial" w:cs="Arial"/>
          <w:b/>
          <w:sz w:val="28"/>
          <w:szCs w:val="28"/>
        </w:rPr>
        <w:t xml:space="preserve"> Nº</w:t>
      </w:r>
      <w:r w:rsidRPr="006E1964">
        <w:rPr>
          <w:rFonts w:ascii="Arial" w:hAnsi="Arial" w:cs="Arial"/>
          <w:b/>
          <w:sz w:val="28"/>
          <w:szCs w:val="28"/>
        </w:rPr>
        <w:t xml:space="preserve"> </w:t>
      </w:r>
      <w:r w:rsidR="00E82CD8" w:rsidRPr="006E1964">
        <w:rPr>
          <w:rFonts w:ascii="Arial" w:hAnsi="Arial" w:cs="Arial"/>
          <w:b/>
          <w:sz w:val="28"/>
          <w:szCs w:val="28"/>
        </w:rPr>
        <w:t>4</w:t>
      </w:r>
      <w:r w:rsidR="00FE5290" w:rsidRPr="006E1964">
        <w:rPr>
          <w:rFonts w:ascii="Arial" w:hAnsi="Arial" w:cs="Arial"/>
          <w:b/>
          <w:sz w:val="28"/>
          <w:szCs w:val="28"/>
        </w:rPr>
        <w:t>/200</w:t>
      </w:r>
      <w:r w:rsidR="00B76DBE" w:rsidRPr="006E1964">
        <w:rPr>
          <w:rFonts w:ascii="Arial" w:hAnsi="Arial" w:cs="Arial"/>
          <w:b/>
          <w:sz w:val="28"/>
          <w:szCs w:val="28"/>
        </w:rPr>
        <w:t>6</w:t>
      </w:r>
      <w:r w:rsidR="006E1964" w:rsidRPr="006E1964">
        <w:rPr>
          <w:rStyle w:val="Refdenotaderodap"/>
          <w:rFonts w:ascii="Arial" w:hAnsi="Arial" w:cs="Arial"/>
          <w:b/>
          <w:shadow/>
        </w:rPr>
        <w:footnoteReference w:customMarkFollows="1" w:id="1"/>
        <w:sym w:font="Symbol" w:char="F02A"/>
      </w:r>
    </w:p>
    <w:p w:rsidR="00E82CD8" w:rsidRPr="009D619B" w:rsidRDefault="00E82CD8" w:rsidP="00E82CD8">
      <w:pPr>
        <w:rPr>
          <w:rFonts w:ascii="Arial" w:hAnsi="Arial" w:cs="Arial"/>
        </w:rPr>
      </w:pPr>
    </w:p>
    <w:p w:rsidR="00FE5290" w:rsidRPr="006E1964" w:rsidRDefault="00E82CD8" w:rsidP="00E82CD8">
      <w:pPr>
        <w:pStyle w:val="Ttulo1"/>
        <w:rPr>
          <w:rFonts w:ascii="Arial" w:hAnsi="Arial" w:cs="Arial"/>
          <w:sz w:val="24"/>
        </w:rPr>
      </w:pPr>
      <w:r w:rsidRPr="006E1964">
        <w:rPr>
          <w:rFonts w:ascii="Arial" w:hAnsi="Arial" w:cs="Arial"/>
          <w:sz w:val="24"/>
        </w:rPr>
        <w:t>Antiga Instrução de Serviço nº 6/2006</w:t>
      </w:r>
    </w:p>
    <w:p w:rsidR="00766C74" w:rsidRPr="009D619B" w:rsidRDefault="00766C74" w:rsidP="00766C74">
      <w:pPr>
        <w:ind w:left="-540"/>
        <w:rPr>
          <w:rFonts w:ascii="Arial" w:hAnsi="Arial" w:cs="Arial"/>
          <w:b/>
          <w:sz w:val="20"/>
          <w:szCs w:val="20"/>
        </w:rPr>
      </w:pPr>
    </w:p>
    <w:p w:rsidR="00FE5290" w:rsidRPr="009D619B" w:rsidRDefault="00FE5290" w:rsidP="00FE5290">
      <w:pPr>
        <w:jc w:val="center"/>
        <w:rPr>
          <w:rFonts w:ascii="Arial" w:hAnsi="Arial" w:cs="Arial"/>
        </w:rPr>
      </w:pPr>
    </w:p>
    <w:p w:rsidR="00001AAD" w:rsidRPr="009D619B" w:rsidRDefault="006139B0" w:rsidP="009D619B">
      <w:pPr>
        <w:ind w:left="4536"/>
        <w:jc w:val="both"/>
        <w:divId w:val="1809393144"/>
        <w:rPr>
          <w:rFonts w:ascii="Arial" w:hAnsi="Arial" w:cs="Arial"/>
          <w:i/>
        </w:rPr>
      </w:pPr>
      <w:r w:rsidRPr="009D619B">
        <w:rPr>
          <w:rFonts w:ascii="Arial" w:hAnsi="Arial" w:cs="Arial"/>
          <w:i/>
        </w:rPr>
        <w:t>Dispõe sobre a emissão de acórdãos pela Diretoria Geral.</w:t>
      </w:r>
    </w:p>
    <w:p w:rsidR="006139B0" w:rsidRPr="009D619B" w:rsidRDefault="006139B0" w:rsidP="00001AAD">
      <w:pPr>
        <w:divId w:val="1809393144"/>
        <w:rPr>
          <w:rFonts w:ascii="Arial" w:hAnsi="Arial" w:cs="Arial"/>
        </w:rPr>
      </w:pPr>
    </w:p>
    <w:p w:rsidR="006139B0" w:rsidRPr="006508C7" w:rsidRDefault="006139B0" w:rsidP="006508C7">
      <w:pPr>
        <w:jc w:val="both"/>
        <w:divId w:val="1809393144"/>
        <w:rPr>
          <w:rFonts w:ascii="Arial" w:hAnsi="Arial" w:cs="Arial"/>
        </w:rPr>
      </w:pPr>
      <w:r w:rsidRPr="006508C7">
        <w:rPr>
          <w:rFonts w:ascii="Arial" w:hAnsi="Arial" w:cs="Arial"/>
        </w:rPr>
        <w:t xml:space="preserve">O </w:t>
      </w:r>
      <w:r w:rsidRPr="006508C7">
        <w:rPr>
          <w:rFonts w:ascii="Arial" w:hAnsi="Arial" w:cs="Arial"/>
          <w:b/>
          <w:caps/>
        </w:rPr>
        <w:t>Presidente do Tribunal de Contas do Estado do Paraná</w:t>
      </w:r>
      <w:r w:rsidRPr="006508C7">
        <w:rPr>
          <w:rFonts w:ascii="Arial" w:hAnsi="Arial" w:cs="Arial"/>
        </w:rPr>
        <w:t xml:space="preserve">, no uso das atribuições que lhe são conferidas no art. 16, e na forma do disposto no inc.  XXXIII, do artigo citado, c/c o art. 197, em conjunto com a Diretora Geral, nos termos do art. 150, § 2º, todos do Regimento Interno, </w:t>
      </w:r>
    </w:p>
    <w:p w:rsidR="006139B0" w:rsidRPr="009D619B" w:rsidRDefault="006139B0" w:rsidP="006139B0">
      <w:pPr>
        <w:jc w:val="center"/>
        <w:divId w:val="1809393144"/>
        <w:rPr>
          <w:rFonts w:ascii="Arial" w:hAnsi="Arial" w:cs="Arial"/>
        </w:rPr>
      </w:pPr>
    </w:p>
    <w:p w:rsidR="006139B0" w:rsidRPr="009D619B" w:rsidRDefault="006139B0" w:rsidP="006139B0">
      <w:pPr>
        <w:pStyle w:val="Corpodetexto"/>
        <w:ind w:firstLine="708"/>
        <w:divId w:val="1809393144"/>
        <w:rPr>
          <w:rFonts w:ascii="Arial" w:hAnsi="Arial" w:cs="Arial"/>
          <w:b/>
        </w:rPr>
      </w:pPr>
      <w:r w:rsidRPr="009D619B">
        <w:rPr>
          <w:rFonts w:ascii="Arial" w:hAnsi="Arial" w:cs="Arial"/>
          <w:b/>
        </w:rPr>
        <w:t>RESOLVE:</w:t>
      </w:r>
    </w:p>
    <w:p w:rsidR="006139B0" w:rsidRPr="009D619B" w:rsidRDefault="006139B0" w:rsidP="00E46E25">
      <w:pPr>
        <w:spacing w:before="120"/>
        <w:divId w:val="1809393144"/>
        <w:rPr>
          <w:rFonts w:ascii="Arial" w:hAnsi="Arial" w:cs="Arial"/>
        </w:rPr>
      </w:pPr>
    </w:p>
    <w:p w:rsidR="006139B0" w:rsidRPr="009D619B" w:rsidRDefault="006139B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  <w:b/>
          <w:bCs/>
        </w:rPr>
        <w:t xml:space="preserve">Art. 1º </w:t>
      </w:r>
      <w:r w:rsidRPr="009D619B">
        <w:rPr>
          <w:rFonts w:ascii="Arial" w:hAnsi="Arial" w:cs="Arial"/>
        </w:rPr>
        <w:t xml:space="preserve">Os Gabinetes dos Conselheiros e Auditores poderão conferir à Diretoria Geral a emissão dos acórdãos, dos órgãos colegiados, com a finalidade de atendimento ao art. 471, do Regimento Interno, desde que atendidas as disposições da presente Instrução.  </w:t>
      </w:r>
    </w:p>
    <w:p w:rsidR="006139B0" w:rsidRPr="009D619B" w:rsidRDefault="006139B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  <w:b/>
          <w:bCs/>
        </w:rPr>
        <w:t xml:space="preserve">Art. 2º </w:t>
      </w:r>
      <w:r w:rsidRPr="009D619B">
        <w:rPr>
          <w:rFonts w:ascii="Arial" w:hAnsi="Arial" w:cs="Arial"/>
        </w:rPr>
        <w:t xml:space="preserve">Encerrada a sessão de julgamento, os Gabinetes terão o prazo de 2 (dois) dias úteis para o encaminhamento do processo, contendo o voto assinado e devidamente juntado nos autos, e com a disponibilização, no sistema informatizado, do respectivo arquivo.  </w:t>
      </w:r>
    </w:p>
    <w:p w:rsidR="006139B0" w:rsidRPr="009D619B" w:rsidRDefault="006139B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>§ 1º Caso o encaminhamento não seja realizado dentro do prazo estabelecido, o processo somente será acatado pela Diretoria Geral, mediante autorização do Presidente, através de ofício encaminhado pelo Relator, devidamente fundamentado.</w:t>
      </w:r>
    </w:p>
    <w:p w:rsidR="006139B0" w:rsidRPr="009D619B" w:rsidRDefault="0037131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>§ 2º</w:t>
      </w:r>
      <w:r w:rsidR="006139B0" w:rsidRPr="009D619B">
        <w:rPr>
          <w:rFonts w:ascii="Arial" w:hAnsi="Arial" w:cs="Arial"/>
        </w:rPr>
        <w:t xml:space="preserve"> Os votos deverão atender o disposto no § 1º, do art. 49, da Lei Complementar nº 113, de 15 de dezembro de 2005, c/c o art. 457, do Regimento Interno.</w:t>
      </w:r>
    </w:p>
    <w:p w:rsidR="006139B0" w:rsidRPr="009D619B" w:rsidRDefault="006139B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lastRenderedPageBreak/>
        <w:t xml:space="preserve">§ 3º A Diretoria Geral devolverá aos Gabinetes, sem a emissão de acórdão, os votos que não observarem o disposto no § 2º, bem como os processos que não atendam aos requisitos previstos no </w:t>
      </w:r>
      <w:r w:rsidRPr="009D619B">
        <w:rPr>
          <w:rFonts w:ascii="Arial" w:hAnsi="Arial" w:cs="Arial"/>
          <w:i/>
          <w:iCs/>
        </w:rPr>
        <w:t>caput</w:t>
      </w:r>
      <w:r w:rsidRPr="009D619B">
        <w:rPr>
          <w:rFonts w:ascii="Arial" w:hAnsi="Arial" w:cs="Arial"/>
        </w:rPr>
        <w:t xml:space="preserve">.  </w:t>
      </w:r>
    </w:p>
    <w:p w:rsidR="006139B0" w:rsidRDefault="006139B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 xml:space="preserve">§ 4º Inclui-se no prazo de que trata o art. 2º, o </w:t>
      </w:r>
      <w:proofErr w:type="gramStart"/>
      <w:r w:rsidRPr="009D619B">
        <w:rPr>
          <w:rFonts w:ascii="Arial" w:hAnsi="Arial" w:cs="Arial"/>
        </w:rPr>
        <w:t>voto vistas</w:t>
      </w:r>
      <w:proofErr w:type="gramEnd"/>
      <w:r w:rsidRPr="009D619B">
        <w:rPr>
          <w:rFonts w:ascii="Arial" w:hAnsi="Arial" w:cs="Arial"/>
        </w:rPr>
        <w:t xml:space="preserve"> ou a declaração de voto, nos termos do parágrafo único, do art. 50, da Lei Complementar nº 113/2005.</w:t>
      </w:r>
    </w:p>
    <w:p w:rsidR="00E21C3F" w:rsidRPr="009D619B" w:rsidRDefault="006C4D89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474222">
        <w:rPr>
          <w:rFonts w:ascii="Arial" w:hAnsi="Arial" w:cs="Arial"/>
        </w:rPr>
        <w:t xml:space="preserve">§ 5º </w:t>
      </w:r>
      <w:r>
        <w:rPr>
          <w:rFonts w:ascii="Arial" w:hAnsi="Arial" w:cs="Arial"/>
        </w:rPr>
        <w:t xml:space="preserve">Para autos eletrônicos </w:t>
      </w:r>
      <w:r w:rsidRPr="00965348">
        <w:rPr>
          <w:rFonts w:ascii="Arial" w:hAnsi="Arial" w:cs="Arial"/>
        </w:rPr>
        <w:t xml:space="preserve">os Gabinetes </w:t>
      </w:r>
      <w:r>
        <w:rPr>
          <w:rFonts w:ascii="Arial" w:hAnsi="Arial" w:cs="Arial"/>
        </w:rPr>
        <w:t xml:space="preserve">disponibilizarão no sistema de trâmite a proposta de voto, procedendo o encaminhamento dos autos digitais à Diretoria Geral. </w:t>
      </w:r>
      <w:r w:rsidRPr="00E46E25">
        <w:rPr>
          <w:rFonts w:ascii="Arial" w:hAnsi="Arial" w:cs="Arial"/>
          <w:color w:val="0000FF"/>
        </w:rPr>
        <w:t>(Incluído pela</w:t>
      </w:r>
      <w:r>
        <w:rPr>
          <w:rFonts w:ascii="Arial" w:hAnsi="Arial" w:cs="Arial"/>
        </w:rPr>
        <w:t xml:space="preserve"> </w:t>
      </w:r>
      <w:hyperlink r:id="rId8" w:history="1">
        <w:r w:rsidRPr="00E46E25">
          <w:rPr>
            <w:rStyle w:val="Hyperlink"/>
            <w:rFonts w:ascii="Arial" w:hAnsi="Arial" w:cs="Arial"/>
            <w:color w:val="0000FF"/>
          </w:rPr>
          <w:t>Instrução</w:t>
        </w:r>
        <w:r w:rsidRPr="006C4D89">
          <w:rPr>
            <w:rStyle w:val="Hyperlink"/>
            <w:rFonts w:ascii="Arial" w:hAnsi="Arial" w:cs="Arial"/>
          </w:rPr>
          <w:t xml:space="preserve"> de Serviço n. 13/2010</w:t>
        </w:r>
      </w:hyperlink>
      <w:r w:rsidRPr="00E46E25">
        <w:rPr>
          <w:rFonts w:ascii="Arial" w:hAnsi="Arial" w:cs="Arial"/>
          <w:color w:val="0000FF"/>
        </w:rPr>
        <w:t>)</w:t>
      </w:r>
    </w:p>
    <w:p w:rsidR="006139B0" w:rsidRPr="009D619B" w:rsidRDefault="006139B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  <w:b/>
          <w:bCs/>
        </w:rPr>
        <w:t xml:space="preserve">Art. 3º </w:t>
      </w:r>
      <w:r w:rsidRPr="009D619B">
        <w:rPr>
          <w:rFonts w:ascii="Arial" w:hAnsi="Arial" w:cs="Arial"/>
        </w:rPr>
        <w:t>A Diretoria Geral emitirá o acórdão até a sessão subseqüente, encaminhando os de julgamento do Tribunal Pleno, aos respectivos Gabinetes, para conferência e assinatura.</w:t>
      </w:r>
    </w:p>
    <w:p w:rsidR="006139B0" w:rsidRPr="009D619B" w:rsidRDefault="006139B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 xml:space="preserve">§ 1º Os acórdãos de julgamento das Câmaras serão encaminhados pela Diretoria Geral às respectivas Secretarias, até a sessão subseqüente, para os fins previstos no </w:t>
      </w:r>
      <w:r w:rsidRPr="009D619B">
        <w:rPr>
          <w:rFonts w:ascii="Arial" w:hAnsi="Arial" w:cs="Arial"/>
          <w:i/>
          <w:iCs/>
        </w:rPr>
        <w:t>caput</w:t>
      </w:r>
      <w:r w:rsidRPr="009D619B">
        <w:rPr>
          <w:rFonts w:ascii="Arial" w:hAnsi="Arial" w:cs="Arial"/>
        </w:rPr>
        <w:t xml:space="preserve">. </w:t>
      </w:r>
    </w:p>
    <w:p w:rsidR="006139B0" w:rsidRPr="009D619B" w:rsidRDefault="006139B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 xml:space="preserve">§ 2º A emissão do acórdão consistirá na inclusão da numeração, do arquivo contendo o voto do Relator, do </w:t>
      </w:r>
      <w:r w:rsidRPr="009D619B">
        <w:rPr>
          <w:rFonts w:ascii="Arial" w:hAnsi="Arial" w:cs="Arial"/>
          <w:i/>
          <w:iCs/>
        </w:rPr>
        <w:t xml:space="preserve">quorum </w:t>
      </w:r>
      <w:r w:rsidRPr="009D619B">
        <w:rPr>
          <w:rFonts w:ascii="Arial" w:hAnsi="Arial" w:cs="Arial"/>
        </w:rPr>
        <w:t>de votação, e dos nomes dos Conselheiros que assinarão o acórdão.</w:t>
      </w:r>
    </w:p>
    <w:p w:rsidR="006139B0" w:rsidRPr="009D619B" w:rsidRDefault="006139B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>§ 3º A Diretoria Geral não se responsabiliza pelo conteúdo dos acórdãos, não lhe sendo permitida qualquer correção ou alteração no texto encaminhado pelo Relator.</w:t>
      </w:r>
    </w:p>
    <w:p w:rsidR="006139B0" w:rsidRPr="009D619B" w:rsidRDefault="006139B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  <w:b/>
          <w:bCs/>
        </w:rPr>
        <w:t xml:space="preserve">Art. 4º </w:t>
      </w:r>
      <w:r w:rsidRPr="009D619B">
        <w:rPr>
          <w:rFonts w:ascii="Arial" w:hAnsi="Arial" w:cs="Arial"/>
        </w:rPr>
        <w:t xml:space="preserve">Caberá à Diretoria Geral e às Secretarias das Câmaras a publicação dos acórdãos e a certificação do trânsito em julgado.  </w:t>
      </w:r>
    </w:p>
    <w:p w:rsidR="006139B0" w:rsidRPr="009D619B" w:rsidRDefault="006139B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  <w:b/>
          <w:bCs/>
        </w:rPr>
        <w:t xml:space="preserve">Art. 5º </w:t>
      </w:r>
      <w:r w:rsidRPr="009D619B">
        <w:rPr>
          <w:rFonts w:ascii="Arial" w:hAnsi="Arial" w:cs="Arial"/>
        </w:rPr>
        <w:t>Excetuada a hipótese prevista no parágrafo único, do art. 471, do Regimento Interno, constatado erro no acórdão, o mesmo deverá ser comunicado por escrito ao Relator, devidamente certificado no processo e encaminhado à Diretoria Geral nos seguintes casos:</w:t>
      </w:r>
    </w:p>
    <w:p w:rsidR="006139B0" w:rsidRPr="009D619B" w:rsidRDefault="006139B0" w:rsidP="00E46E25">
      <w:pPr>
        <w:pStyle w:val="Corpodetexto"/>
        <w:spacing w:before="120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>I – quando houver incorreção de grafia de nome ou de dados da autuação, mediante a verificação das informações processuais;</w:t>
      </w:r>
    </w:p>
    <w:p w:rsidR="006139B0" w:rsidRPr="009D619B" w:rsidRDefault="006139B0" w:rsidP="00E46E25">
      <w:pPr>
        <w:pStyle w:val="Corpodetexto"/>
        <w:spacing w:before="120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</w:rPr>
        <w:t xml:space="preserve">II – erro no conteúdo da decisão, verificado através da confrontação com os registros do sistema de transcrição da sessão.  </w:t>
      </w:r>
    </w:p>
    <w:p w:rsidR="006139B0" w:rsidRPr="009D619B" w:rsidRDefault="006139B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  <w:b/>
          <w:bCs/>
        </w:rPr>
        <w:t xml:space="preserve">Art. 6º </w:t>
      </w:r>
      <w:r w:rsidRPr="009D619B">
        <w:rPr>
          <w:rFonts w:ascii="Arial" w:hAnsi="Arial" w:cs="Arial"/>
        </w:rPr>
        <w:t xml:space="preserve">Considerando o contido no art. 12, VI, do Regimento Interno, o não atendimento das disposições estabelecidas nesta Instrução, implicará na comunicação, de que trata os </w:t>
      </w:r>
      <w:proofErr w:type="spellStart"/>
      <w:r w:rsidRPr="009D619B">
        <w:rPr>
          <w:rFonts w:ascii="Arial" w:hAnsi="Arial" w:cs="Arial"/>
        </w:rPr>
        <w:t>arts</w:t>
      </w:r>
      <w:proofErr w:type="spellEnd"/>
      <w:r w:rsidRPr="009D619B">
        <w:rPr>
          <w:rFonts w:ascii="Arial" w:hAnsi="Arial" w:cs="Arial"/>
        </w:rPr>
        <w:t>. 436, II, parágrafo único, II, e 464, II, parágrafo único, II, do mesmo diploma legal.</w:t>
      </w:r>
    </w:p>
    <w:p w:rsidR="006139B0" w:rsidRPr="009D619B" w:rsidRDefault="006139B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6508C7">
        <w:rPr>
          <w:rFonts w:ascii="Arial" w:hAnsi="Arial" w:cs="Arial"/>
          <w:bCs/>
        </w:rPr>
        <w:t>Parágrafo único</w:t>
      </w:r>
      <w:r w:rsidRPr="006508C7">
        <w:rPr>
          <w:rFonts w:ascii="Arial" w:hAnsi="Arial" w:cs="Arial"/>
        </w:rPr>
        <w:t>.</w:t>
      </w:r>
      <w:r w:rsidRPr="009D619B">
        <w:rPr>
          <w:rFonts w:ascii="Arial" w:hAnsi="Arial" w:cs="Arial"/>
        </w:rPr>
        <w:t xml:space="preserve"> Para o cumprimento do disposto no </w:t>
      </w:r>
      <w:r w:rsidRPr="009D619B">
        <w:rPr>
          <w:rFonts w:ascii="Arial" w:hAnsi="Arial" w:cs="Arial"/>
          <w:i/>
          <w:iCs/>
        </w:rPr>
        <w:t xml:space="preserve">caput, </w:t>
      </w:r>
      <w:r w:rsidRPr="009D619B">
        <w:rPr>
          <w:rFonts w:ascii="Arial" w:hAnsi="Arial" w:cs="Arial"/>
        </w:rPr>
        <w:t xml:space="preserve">as Secretarias dos órgãos colegiados emitirão, mensalmente, o relatório dos acórdãos em atraso, </w:t>
      </w:r>
      <w:r w:rsidRPr="009D619B">
        <w:rPr>
          <w:rFonts w:ascii="Arial" w:hAnsi="Arial" w:cs="Arial"/>
        </w:rPr>
        <w:lastRenderedPageBreak/>
        <w:t>encaminhando aos respectivos Presidentes para serem comunicados nos órgãos colegiados.</w:t>
      </w:r>
    </w:p>
    <w:p w:rsidR="006139B0" w:rsidRPr="009D619B" w:rsidRDefault="006139B0" w:rsidP="00E46E2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9D619B">
        <w:rPr>
          <w:rFonts w:ascii="Arial" w:hAnsi="Arial" w:cs="Arial"/>
          <w:b/>
          <w:bCs/>
        </w:rPr>
        <w:t xml:space="preserve">Art. 7º </w:t>
      </w:r>
      <w:r w:rsidRPr="009D619B">
        <w:rPr>
          <w:rFonts w:ascii="Arial" w:hAnsi="Arial" w:cs="Arial"/>
        </w:rPr>
        <w:t>Esta Instrução de Serviço entra em vigência na data de sua publicação.</w:t>
      </w:r>
    </w:p>
    <w:p w:rsidR="006139B0" w:rsidRPr="009D619B" w:rsidRDefault="006139B0" w:rsidP="006139B0">
      <w:pPr>
        <w:pStyle w:val="Corpodetexto"/>
        <w:divId w:val="1809393144"/>
        <w:rPr>
          <w:rFonts w:ascii="Arial" w:hAnsi="Arial" w:cs="Arial"/>
        </w:rPr>
      </w:pPr>
    </w:p>
    <w:p w:rsidR="006139B0" w:rsidRPr="009D619B" w:rsidRDefault="006139B0" w:rsidP="006139B0">
      <w:pPr>
        <w:pStyle w:val="Corpodetexto"/>
        <w:divId w:val="1809393144"/>
        <w:rPr>
          <w:rFonts w:ascii="Arial" w:hAnsi="Arial" w:cs="Arial"/>
          <w:b/>
        </w:rPr>
      </w:pPr>
      <w:r w:rsidRPr="009D619B">
        <w:rPr>
          <w:rFonts w:ascii="Arial" w:hAnsi="Arial" w:cs="Arial"/>
          <w:b/>
        </w:rPr>
        <w:t>Curitiba, 31 de julho de 2006.</w:t>
      </w:r>
    </w:p>
    <w:p w:rsidR="006139B0" w:rsidRPr="009D619B" w:rsidRDefault="006139B0" w:rsidP="006139B0">
      <w:pPr>
        <w:divId w:val="1809393144"/>
        <w:rPr>
          <w:rFonts w:ascii="Arial" w:hAnsi="Arial" w:cs="Arial"/>
        </w:rPr>
      </w:pPr>
    </w:p>
    <w:p w:rsidR="006139B0" w:rsidRPr="009D619B" w:rsidRDefault="006139B0" w:rsidP="006139B0">
      <w:pPr>
        <w:divId w:val="1809393144"/>
        <w:rPr>
          <w:rFonts w:ascii="Arial" w:hAnsi="Arial" w:cs="Arial"/>
        </w:rPr>
      </w:pPr>
    </w:p>
    <w:p w:rsidR="00281B2C" w:rsidRPr="009D619B" w:rsidRDefault="00281B2C" w:rsidP="006E1964">
      <w:pPr>
        <w:pStyle w:val="Ttulo1"/>
        <w:jc w:val="right"/>
        <w:divId w:val="1809393144"/>
        <w:rPr>
          <w:rFonts w:ascii="Arial" w:hAnsi="Arial" w:cs="Arial"/>
          <w:b/>
          <w:bCs/>
          <w:i/>
          <w:sz w:val="24"/>
        </w:rPr>
      </w:pPr>
      <w:r w:rsidRPr="009D619B">
        <w:rPr>
          <w:rFonts w:ascii="Arial" w:hAnsi="Arial" w:cs="Arial"/>
          <w:b/>
          <w:bCs/>
          <w:i/>
          <w:sz w:val="24"/>
        </w:rPr>
        <w:t>DESIRÉE DO ROCIO VIDAL</w:t>
      </w:r>
    </w:p>
    <w:p w:rsidR="00281B2C" w:rsidRPr="009D619B" w:rsidRDefault="00281B2C" w:rsidP="006E1964">
      <w:pPr>
        <w:pStyle w:val="Corpodetexto"/>
        <w:jc w:val="right"/>
        <w:divId w:val="1809393144"/>
        <w:rPr>
          <w:rFonts w:ascii="Arial" w:hAnsi="Arial" w:cs="Arial"/>
          <w:i/>
        </w:rPr>
      </w:pPr>
      <w:r w:rsidRPr="009D619B">
        <w:rPr>
          <w:rFonts w:ascii="Arial" w:hAnsi="Arial" w:cs="Arial"/>
          <w:i/>
        </w:rPr>
        <w:t>Diretora Geral</w:t>
      </w:r>
    </w:p>
    <w:p w:rsidR="00281B2C" w:rsidRPr="009D619B" w:rsidRDefault="00281B2C" w:rsidP="006E1964">
      <w:pPr>
        <w:pStyle w:val="Ttulo1"/>
        <w:jc w:val="right"/>
        <w:divId w:val="1809393144"/>
        <w:rPr>
          <w:rFonts w:ascii="Arial" w:hAnsi="Arial" w:cs="Arial"/>
          <w:b/>
          <w:bCs/>
          <w:i/>
          <w:sz w:val="24"/>
        </w:rPr>
      </w:pPr>
      <w:r w:rsidRPr="009D619B">
        <w:rPr>
          <w:rFonts w:ascii="Arial" w:hAnsi="Arial" w:cs="Arial"/>
          <w:b/>
          <w:bCs/>
          <w:i/>
          <w:sz w:val="24"/>
        </w:rPr>
        <w:t>HEINZ GEORG HERWIG</w:t>
      </w:r>
    </w:p>
    <w:p w:rsidR="00281B2C" w:rsidRPr="009D619B" w:rsidRDefault="00281B2C" w:rsidP="006E1964">
      <w:pPr>
        <w:autoSpaceDE w:val="0"/>
        <w:autoSpaceDN w:val="0"/>
        <w:adjustRightInd w:val="0"/>
        <w:jc w:val="right"/>
        <w:divId w:val="1809393144"/>
        <w:rPr>
          <w:rFonts w:ascii="Arial" w:hAnsi="Arial" w:cs="Arial"/>
          <w:i/>
        </w:rPr>
      </w:pPr>
      <w:bookmarkStart w:id="0" w:name="_GoBack"/>
      <w:bookmarkEnd w:id="0"/>
      <w:r w:rsidRPr="009D619B">
        <w:rPr>
          <w:rFonts w:ascii="Arial" w:hAnsi="Arial" w:cs="Arial"/>
          <w:bCs/>
          <w:i/>
        </w:rPr>
        <w:t>Presidente</w:t>
      </w:r>
    </w:p>
    <w:sectPr w:rsidR="00281B2C" w:rsidRPr="009D619B" w:rsidSect="006D037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1F1" w:rsidRDefault="00A541F1">
      <w:r>
        <w:separator/>
      </w:r>
    </w:p>
  </w:endnote>
  <w:endnote w:type="continuationSeparator" w:id="0">
    <w:p w:rsidR="00A541F1" w:rsidRDefault="00A5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D8" w:rsidRDefault="00E82CD8">
    <w:pPr>
      <w:pStyle w:val="Rodap"/>
    </w:pPr>
  </w:p>
  <w:p w:rsidR="00E82CD8" w:rsidRDefault="00E82C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1F1" w:rsidRDefault="00A541F1">
      <w:r>
        <w:separator/>
      </w:r>
    </w:p>
  </w:footnote>
  <w:footnote w:type="continuationSeparator" w:id="0">
    <w:p w:rsidR="00A541F1" w:rsidRDefault="00A541F1">
      <w:r>
        <w:continuationSeparator/>
      </w:r>
    </w:p>
  </w:footnote>
  <w:footnote w:id="1">
    <w:p w:rsidR="006E1964" w:rsidRPr="00A22833" w:rsidRDefault="006E1964" w:rsidP="009D619B">
      <w:pPr>
        <w:pStyle w:val="Textodenotaderodap"/>
        <w:rPr>
          <w:rFonts w:ascii="Arial" w:hAnsi="Arial" w:cs="Arial"/>
        </w:rPr>
      </w:pPr>
      <w:r w:rsidRPr="009D619B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6E1964" w:rsidRPr="00811C63" w:rsidRDefault="006E1964" w:rsidP="009D619B">
      <w:pPr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Renumerada de acordo com a </w:t>
      </w:r>
      <w:hyperlink r:id="rId1" w:history="1">
        <w:r w:rsidRPr="00811C63">
          <w:rPr>
            <w:rFonts w:ascii="Arial" w:hAnsi="Arial" w:cs="Arial"/>
            <w:color w:val="0000FF"/>
            <w:sz w:val="20"/>
            <w:szCs w:val="20"/>
            <w:u w:val="single"/>
          </w:rPr>
          <w:t>Instrução de Serviço n. 16, de 14 de abril de 2011</w:t>
        </w:r>
      </w:hyperlink>
      <w:r w:rsidRPr="00811C63">
        <w:rPr>
          <w:rFonts w:ascii="Arial" w:hAnsi="Arial" w:cs="Arial"/>
          <w:sz w:val="20"/>
          <w:szCs w:val="20"/>
        </w:rPr>
        <w:t>.</w:t>
      </w:r>
    </w:p>
    <w:p w:rsidR="006E1964" w:rsidRDefault="006E1964" w:rsidP="009D619B">
      <w:pPr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2" w:history="1">
        <w:r w:rsidRPr="009D619B">
          <w:rPr>
            <w:rStyle w:val="Hyperlink"/>
            <w:rFonts w:ascii="Arial" w:hAnsi="Arial" w:cs="Arial"/>
            <w:sz w:val="20"/>
            <w:szCs w:val="20"/>
          </w:rPr>
          <w:t>Atos Oficiais do Tribunal de Contas do Estado do Paraná, Curitiba, PR, n. 60, 4 ago. 2006, p. 104</w:t>
        </w:r>
      </w:hyperlink>
      <w:r w:rsidRPr="009D619B">
        <w:rPr>
          <w:rFonts w:ascii="Arial" w:hAnsi="Arial" w:cs="Arial"/>
          <w:sz w:val="20"/>
          <w:szCs w:val="20"/>
        </w:rPr>
        <w:t>.</w:t>
      </w:r>
    </w:p>
    <w:p w:rsidR="006E1964" w:rsidRPr="00811C63" w:rsidRDefault="006E1964" w:rsidP="009D619B">
      <w:pPr>
        <w:numPr>
          <w:ilvl w:val="0"/>
          <w:numId w:val="2"/>
        </w:numPr>
        <w:spacing w:after="160" w:line="259" w:lineRule="auto"/>
        <w:ind w:left="284" w:hanging="284"/>
        <w:rPr>
          <w:sz w:val="20"/>
          <w:szCs w:val="20"/>
        </w:rPr>
      </w:pPr>
      <w:r w:rsidRPr="009D619B">
        <w:rPr>
          <w:rFonts w:ascii="Arial" w:hAnsi="Arial" w:cs="Arial"/>
          <w:b/>
          <w:bCs/>
          <w:color w:val="0000FF"/>
          <w:sz w:val="20"/>
          <w:szCs w:val="20"/>
        </w:rPr>
        <w:t>Alterada</w:t>
      </w:r>
      <w:r>
        <w:rPr>
          <w:rFonts w:ascii="Arial" w:hAnsi="Arial" w:cs="Arial"/>
          <w:b/>
          <w:bCs/>
          <w:sz w:val="20"/>
          <w:szCs w:val="20"/>
        </w:rPr>
        <w:t xml:space="preserve"> por</w:t>
      </w:r>
      <w:r w:rsidRPr="00811C63">
        <w:rPr>
          <w:rFonts w:ascii="Arial" w:hAnsi="Arial" w:cs="Arial"/>
          <w:b/>
          <w:bCs/>
          <w:sz w:val="20"/>
          <w:szCs w:val="20"/>
        </w:rPr>
        <w:t>:</w:t>
      </w:r>
      <w:r w:rsidRPr="00811C63">
        <w:rPr>
          <w:rFonts w:ascii="Arial" w:hAnsi="Arial" w:cs="Arial"/>
          <w:sz w:val="20"/>
          <w:szCs w:val="20"/>
        </w:rPr>
        <w:t xml:space="preserve"> </w:t>
      </w:r>
      <w:hyperlink r:id="rId3" w:history="1">
        <w:r w:rsidRPr="009D619B">
          <w:rPr>
            <w:rStyle w:val="Hyperlink"/>
            <w:rFonts w:ascii="Arial" w:hAnsi="Arial" w:cs="Arial"/>
            <w:sz w:val="20"/>
            <w:szCs w:val="20"/>
          </w:rPr>
          <w:t xml:space="preserve">Instrução de Serviço n. 13, de 4 de agosto de 2010 </w:t>
        </w:r>
      </w:hyperlink>
      <w:r w:rsidRPr="009D619B">
        <w:rPr>
          <w:rFonts w:ascii="Arial" w:hAnsi="Arial" w:cs="Arial"/>
          <w:sz w:val="20"/>
          <w:szCs w:val="20"/>
        </w:rPr>
        <w:t xml:space="preserve">(antiga Instrução de Serviço n. 14/2010). </w:t>
      </w:r>
    </w:p>
    <w:p w:rsidR="006E1964" w:rsidRDefault="006E196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964" w:rsidRDefault="006E1964" w:rsidP="006E1964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72B9B7" wp14:editId="644B983D">
          <wp:simplePos x="0" y="0"/>
          <wp:positionH relativeFrom="column">
            <wp:posOffset>35560</wp:posOffset>
          </wp:positionH>
          <wp:positionV relativeFrom="paragraph">
            <wp:posOffset>12700</wp:posOffset>
          </wp:positionV>
          <wp:extent cx="605790" cy="712470"/>
          <wp:effectExtent l="0" t="0" r="0" b="0"/>
          <wp:wrapSquare wrapText="bothSides"/>
          <wp:docPr id="2" name="Imagem 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:rsidR="006E1964" w:rsidRDefault="006E1964" w:rsidP="006E1964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</w:p>
  <w:p w:rsidR="006139B0" w:rsidRPr="006E1964" w:rsidRDefault="006139B0" w:rsidP="006E19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31F0"/>
    <w:multiLevelType w:val="hybridMultilevel"/>
    <w:tmpl w:val="4C9086BA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90CDC"/>
    <w:multiLevelType w:val="hybridMultilevel"/>
    <w:tmpl w:val="1ADA659A"/>
    <w:lvl w:ilvl="0" w:tplc="D5CECC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290"/>
    <w:rsid w:val="00001AAD"/>
    <w:rsid w:val="00003A61"/>
    <w:rsid w:val="0008423B"/>
    <w:rsid w:val="000974D8"/>
    <w:rsid w:val="000C168E"/>
    <w:rsid w:val="001013EA"/>
    <w:rsid w:val="00121591"/>
    <w:rsid w:val="00180544"/>
    <w:rsid w:val="00273653"/>
    <w:rsid w:val="00277715"/>
    <w:rsid w:val="00281B2C"/>
    <w:rsid w:val="00371310"/>
    <w:rsid w:val="00383C35"/>
    <w:rsid w:val="003D0D35"/>
    <w:rsid w:val="003E042C"/>
    <w:rsid w:val="00535ED7"/>
    <w:rsid w:val="00593E4A"/>
    <w:rsid w:val="006139B0"/>
    <w:rsid w:val="006508C7"/>
    <w:rsid w:val="006C4D89"/>
    <w:rsid w:val="006D0373"/>
    <w:rsid w:val="006E1964"/>
    <w:rsid w:val="00766C74"/>
    <w:rsid w:val="00791D32"/>
    <w:rsid w:val="007A6C02"/>
    <w:rsid w:val="007B5635"/>
    <w:rsid w:val="00811173"/>
    <w:rsid w:val="008E3730"/>
    <w:rsid w:val="0093201F"/>
    <w:rsid w:val="009A7BE7"/>
    <w:rsid w:val="009D619B"/>
    <w:rsid w:val="00A541F1"/>
    <w:rsid w:val="00A65804"/>
    <w:rsid w:val="00AA2C73"/>
    <w:rsid w:val="00B423C1"/>
    <w:rsid w:val="00B67C9F"/>
    <w:rsid w:val="00B76DBE"/>
    <w:rsid w:val="00C26F56"/>
    <w:rsid w:val="00D8364F"/>
    <w:rsid w:val="00E04351"/>
    <w:rsid w:val="00E21C3F"/>
    <w:rsid w:val="00E25D97"/>
    <w:rsid w:val="00E30CED"/>
    <w:rsid w:val="00E46E25"/>
    <w:rsid w:val="00E51D53"/>
    <w:rsid w:val="00E7323A"/>
    <w:rsid w:val="00E76905"/>
    <w:rsid w:val="00E82CD8"/>
    <w:rsid w:val="00EB16B3"/>
    <w:rsid w:val="00F25C33"/>
    <w:rsid w:val="00FA2B81"/>
    <w:rsid w:val="00FD4A7D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FD4B1B-404A-4D9A-B4B8-7A6368E8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5290"/>
    <w:rPr>
      <w:sz w:val="24"/>
      <w:szCs w:val="24"/>
    </w:rPr>
  </w:style>
  <w:style w:type="paragraph" w:styleId="Ttulo1">
    <w:name w:val="heading 1"/>
    <w:basedOn w:val="Normal"/>
    <w:next w:val="Normal"/>
    <w:qFormat/>
    <w:rsid w:val="00FE5290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6139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139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E5290"/>
    <w:pPr>
      <w:ind w:left="4320"/>
      <w:jc w:val="both"/>
    </w:pPr>
  </w:style>
  <w:style w:type="paragraph" w:styleId="Corpodetexto">
    <w:name w:val="Body Text"/>
    <w:basedOn w:val="Normal"/>
    <w:rsid w:val="00FE5290"/>
    <w:pPr>
      <w:jc w:val="both"/>
    </w:pPr>
  </w:style>
  <w:style w:type="paragraph" w:styleId="Cabealho">
    <w:name w:val="header"/>
    <w:basedOn w:val="Normal"/>
    <w:link w:val="CabealhoChar"/>
    <w:rsid w:val="003E04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E042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B4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383C35"/>
    <w:pPr>
      <w:ind w:left="283" w:hanging="283"/>
    </w:pPr>
  </w:style>
  <w:style w:type="paragraph" w:styleId="Lista2">
    <w:name w:val="List 2"/>
    <w:basedOn w:val="Normal"/>
    <w:rsid w:val="00383C35"/>
    <w:pPr>
      <w:ind w:left="566" w:hanging="283"/>
    </w:pPr>
  </w:style>
  <w:style w:type="paragraph" w:styleId="Lista3">
    <w:name w:val="List 3"/>
    <w:basedOn w:val="Normal"/>
    <w:rsid w:val="00383C35"/>
    <w:pPr>
      <w:ind w:left="849" w:hanging="283"/>
    </w:pPr>
  </w:style>
  <w:style w:type="character" w:customStyle="1" w:styleId="RodapChar">
    <w:name w:val="Rodapé Char"/>
    <w:basedOn w:val="Fontepargpadro"/>
    <w:link w:val="Rodap"/>
    <w:uiPriority w:val="99"/>
    <w:rsid w:val="00E82CD8"/>
    <w:rPr>
      <w:sz w:val="24"/>
      <w:szCs w:val="24"/>
    </w:rPr>
  </w:style>
  <w:style w:type="paragraph" w:styleId="Textodebalo">
    <w:name w:val="Balloon Text"/>
    <w:basedOn w:val="Normal"/>
    <w:link w:val="TextodebaloChar"/>
    <w:rsid w:val="00E82C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82CD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nhideWhenUsed/>
    <w:rsid w:val="009D619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D619B"/>
  </w:style>
  <w:style w:type="character" w:styleId="Refdenotaderodap">
    <w:name w:val="footnote reference"/>
    <w:basedOn w:val="Fontepargpadro"/>
    <w:semiHidden/>
    <w:unhideWhenUsed/>
    <w:rsid w:val="009D619B"/>
    <w:rPr>
      <w:vertAlign w:val="superscript"/>
    </w:rPr>
  </w:style>
  <w:style w:type="character" w:styleId="Hyperlink">
    <w:name w:val="Hyperlink"/>
    <w:basedOn w:val="Fontepargpadro"/>
    <w:unhideWhenUsed/>
    <w:rsid w:val="009D619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619B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rsid w:val="006E19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de-servico-n&#186;-132010/1305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&#186;-132010/1305/area/10" TargetMode="External"/><Relationship Id="rId2" Type="http://schemas.openxmlformats.org/officeDocument/2006/relationships/hyperlink" Target="http://www1.tce.pr.gov.br/multimidia/2006/8/pdf/00000547.pdf" TargetMode="External"/><Relationship Id="rId1" Type="http://schemas.openxmlformats.org/officeDocument/2006/relationships/hyperlink" Target="http://www1.tce.pr.gov.br/conteudo/instrucao-de-servico-n-16-de-8-de-abril-de-2011/130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8C25F-BEE1-41C3-A65B-9EFB523B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PROVIMENTO Nº</vt:lpstr>
    </vt:vector>
  </TitlesOfParts>
  <Company>TCE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PROVIMENTO Nº</dc:title>
  <dc:subject/>
  <dc:creator>Alice Soria Garcia</dc:creator>
  <cp:keywords/>
  <dc:description/>
  <cp:lastModifiedBy>Yarusya Fonseca</cp:lastModifiedBy>
  <cp:revision>4</cp:revision>
  <dcterms:created xsi:type="dcterms:W3CDTF">2019-07-11T16:52:00Z</dcterms:created>
  <dcterms:modified xsi:type="dcterms:W3CDTF">2019-07-12T17:31:00Z</dcterms:modified>
</cp:coreProperties>
</file>