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02" w:rsidRPr="00685189" w:rsidRDefault="00A40702" w:rsidP="00A40702">
      <w:pPr>
        <w:pStyle w:val="Texto"/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685189">
        <w:rPr>
          <w:rFonts w:cs="Arial"/>
          <w:b/>
          <w:bCs/>
          <w:sz w:val="28"/>
          <w:szCs w:val="28"/>
        </w:rPr>
        <w:t>INSTRUÇÃO DE SERVIÇO</w:t>
      </w:r>
      <w:r w:rsidR="00BF75C8" w:rsidRPr="00685189">
        <w:rPr>
          <w:rFonts w:cs="Arial"/>
          <w:b/>
          <w:bCs/>
          <w:sz w:val="28"/>
          <w:szCs w:val="28"/>
        </w:rPr>
        <w:t xml:space="preserve"> Nº </w:t>
      </w:r>
      <w:r w:rsidR="00A678E7" w:rsidRPr="00685189">
        <w:rPr>
          <w:rFonts w:cs="Arial"/>
          <w:b/>
          <w:bCs/>
          <w:sz w:val="28"/>
          <w:szCs w:val="28"/>
        </w:rPr>
        <w:t>107</w:t>
      </w:r>
      <w:r w:rsidR="00BF75C8" w:rsidRPr="00685189">
        <w:rPr>
          <w:rFonts w:cs="Arial"/>
          <w:b/>
          <w:bCs/>
          <w:sz w:val="28"/>
          <w:szCs w:val="28"/>
        </w:rPr>
        <w:t>/2016</w:t>
      </w:r>
      <w:r w:rsidR="00685189" w:rsidRPr="00685189">
        <w:rPr>
          <w:rStyle w:val="Refdenotaderodap"/>
          <w:rFonts w:cs="Arial"/>
          <w:b/>
          <w:bCs/>
          <w:sz w:val="28"/>
          <w:szCs w:val="28"/>
        </w:rPr>
        <w:footnoteReference w:customMarkFollows="1" w:id="2"/>
        <w:sym w:font="Symbol" w:char="F02A"/>
      </w:r>
    </w:p>
    <w:p w:rsidR="00A40702" w:rsidRPr="008F4A32" w:rsidRDefault="00A40702" w:rsidP="00A40702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8F4A32">
        <w:rPr>
          <w:rFonts w:cs="Arial"/>
          <w:i/>
          <w:szCs w:val="22"/>
        </w:rPr>
        <w:t xml:space="preserve">Dispõe sobre </w:t>
      </w:r>
      <w:r w:rsidR="0008630F" w:rsidRPr="008F4A32">
        <w:rPr>
          <w:rFonts w:cs="Arial"/>
          <w:i/>
          <w:szCs w:val="22"/>
        </w:rPr>
        <w:t>a publicação das pautas das sessões dos órgãos colegiados desta Corte</w:t>
      </w:r>
      <w:r w:rsidRPr="008F4A32">
        <w:rPr>
          <w:rFonts w:cs="Arial"/>
          <w:i/>
          <w:szCs w:val="22"/>
        </w:rPr>
        <w:t>.</w:t>
      </w:r>
    </w:p>
    <w:p w:rsidR="00A40702" w:rsidRPr="00685189" w:rsidRDefault="00A40702" w:rsidP="00A40702">
      <w:pPr>
        <w:pStyle w:val="Texto"/>
        <w:spacing w:after="120"/>
        <w:ind w:firstLine="1134"/>
        <w:rPr>
          <w:sz w:val="24"/>
          <w:szCs w:val="24"/>
        </w:rPr>
      </w:pPr>
      <w:r w:rsidRPr="00685189">
        <w:rPr>
          <w:sz w:val="24"/>
          <w:szCs w:val="24"/>
        </w:rPr>
        <w:t>O</w:t>
      </w:r>
      <w:r w:rsidRPr="00685189">
        <w:rPr>
          <w:b/>
          <w:sz w:val="24"/>
          <w:szCs w:val="24"/>
        </w:rPr>
        <w:t xml:space="preserve"> PRESIDENTE DO TRIBUNAL DE CONTAS DO ESTADO DO PARANÁ</w:t>
      </w:r>
      <w:r w:rsidRPr="00685189">
        <w:rPr>
          <w:sz w:val="24"/>
          <w:szCs w:val="24"/>
        </w:rPr>
        <w:t xml:space="preserve">, no uso das atribuições contidas no art. 122, inciso I, da Lei Complementar nº 113, de 15 de dezembro de 2005, e nos artigos 16, inciso XXXIII, e 197, ambos do Regimento Interno, </w:t>
      </w:r>
    </w:p>
    <w:p w:rsidR="00A40702" w:rsidRPr="00685189" w:rsidRDefault="00A40702" w:rsidP="00A40702">
      <w:pPr>
        <w:pStyle w:val="Texto"/>
        <w:spacing w:before="240" w:after="240"/>
        <w:ind w:firstLine="1134"/>
        <w:rPr>
          <w:rFonts w:cs="Arial"/>
          <w:b/>
          <w:bCs/>
          <w:sz w:val="24"/>
          <w:szCs w:val="24"/>
        </w:rPr>
      </w:pPr>
      <w:r w:rsidRPr="00685189">
        <w:rPr>
          <w:rFonts w:cs="Arial"/>
          <w:b/>
          <w:bCs/>
          <w:sz w:val="24"/>
          <w:szCs w:val="24"/>
        </w:rPr>
        <w:t>RESOLVE</w:t>
      </w:r>
    </w:p>
    <w:p w:rsidR="00A40702" w:rsidRPr="00685189" w:rsidRDefault="00A40702" w:rsidP="00A40702">
      <w:pPr>
        <w:pStyle w:val="ArtigosOrdinais"/>
        <w:ind w:firstLine="1134"/>
        <w:rPr>
          <w:sz w:val="24"/>
          <w:szCs w:val="24"/>
        </w:rPr>
      </w:pPr>
      <w:r w:rsidRPr="00685189">
        <w:rPr>
          <w:rFonts w:cs="Arial"/>
          <w:b/>
          <w:sz w:val="24"/>
          <w:szCs w:val="24"/>
        </w:rPr>
        <w:t xml:space="preserve">Art. 1º </w:t>
      </w:r>
      <w:r w:rsidR="001D2E4D" w:rsidRPr="00685189">
        <w:rPr>
          <w:rFonts w:cs="Arial"/>
          <w:sz w:val="24"/>
          <w:szCs w:val="24"/>
        </w:rPr>
        <w:t>Considera-se pauta a listagem de processos</w:t>
      </w:r>
      <w:r w:rsidR="0088650E" w:rsidRPr="00685189">
        <w:rPr>
          <w:rFonts w:cs="Arial"/>
          <w:sz w:val="24"/>
          <w:szCs w:val="24"/>
        </w:rPr>
        <w:t xml:space="preserve"> previstos para</w:t>
      </w:r>
      <w:r w:rsidR="001D2E4D" w:rsidRPr="00685189">
        <w:rPr>
          <w:rFonts w:cs="Arial"/>
          <w:sz w:val="24"/>
          <w:szCs w:val="24"/>
        </w:rPr>
        <w:t xml:space="preserve"> julgamento </w:t>
      </w:r>
      <w:r w:rsidR="0088650E" w:rsidRPr="00685189">
        <w:rPr>
          <w:rFonts w:cs="Arial"/>
          <w:sz w:val="24"/>
          <w:szCs w:val="24"/>
        </w:rPr>
        <w:t>na</w:t>
      </w:r>
      <w:r w:rsidR="001D2E4D" w:rsidRPr="00685189">
        <w:rPr>
          <w:rFonts w:cs="Arial"/>
          <w:sz w:val="24"/>
          <w:szCs w:val="24"/>
        </w:rPr>
        <w:t xml:space="preserve"> data </w:t>
      </w:r>
      <w:r w:rsidR="0088650E" w:rsidRPr="00685189">
        <w:rPr>
          <w:rFonts w:cs="Arial"/>
          <w:sz w:val="24"/>
          <w:szCs w:val="24"/>
        </w:rPr>
        <w:t>correspondente</w:t>
      </w:r>
      <w:r w:rsidR="001D2E4D" w:rsidRPr="00685189">
        <w:rPr>
          <w:rFonts w:cs="Arial"/>
          <w:sz w:val="24"/>
          <w:szCs w:val="24"/>
        </w:rPr>
        <w:t>.</w:t>
      </w:r>
    </w:p>
    <w:p w:rsidR="00A40702" w:rsidRPr="00685189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b/>
          <w:sz w:val="24"/>
          <w:szCs w:val="24"/>
        </w:rPr>
        <w:t xml:space="preserve">Art. </w:t>
      </w:r>
      <w:r w:rsidR="009E61A6" w:rsidRPr="00685189">
        <w:rPr>
          <w:rFonts w:cs="Arial"/>
          <w:b/>
          <w:sz w:val="24"/>
          <w:szCs w:val="24"/>
        </w:rPr>
        <w:t>2</w:t>
      </w:r>
      <w:r w:rsidRPr="00685189">
        <w:rPr>
          <w:rFonts w:cs="Arial"/>
          <w:b/>
          <w:sz w:val="24"/>
          <w:szCs w:val="24"/>
        </w:rPr>
        <w:t>º</w:t>
      </w:r>
      <w:r w:rsidRPr="00685189">
        <w:rPr>
          <w:rFonts w:cs="Arial"/>
          <w:sz w:val="24"/>
          <w:szCs w:val="24"/>
        </w:rPr>
        <w:t xml:space="preserve"> </w:t>
      </w:r>
      <w:r w:rsidR="00295DAF" w:rsidRPr="00685189">
        <w:rPr>
          <w:rFonts w:cs="Arial"/>
          <w:sz w:val="24"/>
          <w:szCs w:val="24"/>
        </w:rPr>
        <w:t>A divulgação das</w:t>
      </w:r>
      <w:r w:rsidR="008B7716" w:rsidRPr="00685189">
        <w:rPr>
          <w:rFonts w:cs="Arial"/>
          <w:sz w:val="24"/>
          <w:szCs w:val="24"/>
        </w:rPr>
        <w:t xml:space="preserve"> pautas das sessões obedece</w:t>
      </w:r>
      <w:r w:rsidR="00463C8E" w:rsidRPr="00685189">
        <w:rPr>
          <w:rFonts w:cs="Arial"/>
          <w:sz w:val="24"/>
          <w:szCs w:val="24"/>
        </w:rPr>
        <w:t>rá</w:t>
      </w:r>
      <w:r w:rsidR="008B7716" w:rsidRPr="00685189">
        <w:rPr>
          <w:rFonts w:cs="Arial"/>
          <w:sz w:val="24"/>
          <w:szCs w:val="24"/>
        </w:rPr>
        <w:t xml:space="preserve"> ao disposto no artigo 429</w:t>
      </w:r>
      <w:r w:rsidR="00295DAF" w:rsidRPr="00685189">
        <w:rPr>
          <w:rFonts w:cs="Arial"/>
          <w:sz w:val="24"/>
          <w:szCs w:val="24"/>
        </w:rPr>
        <w:t>, §§</w:t>
      </w:r>
      <w:r w:rsidR="000943F2" w:rsidRPr="00685189">
        <w:rPr>
          <w:rFonts w:cs="Arial"/>
          <w:sz w:val="24"/>
          <w:szCs w:val="24"/>
        </w:rPr>
        <w:t xml:space="preserve"> 1º e </w:t>
      </w:r>
      <w:r w:rsidR="00463C8E" w:rsidRPr="00685189">
        <w:rPr>
          <w:rFonts w:cs="Arial"/>
          <w:sz w:val="24"/>
          <w:szCs w:val="24"/>
        </w:rPr>
        <w:t>2º, do Regimento I</w:t>
      </w:r>
      <w:r w:rsidR="00295DAF" w:rsidRPr="00685189">
        <w:rPr>
          <w:rFonts w:cs="Arial"/>
          <w:sz w:val="24"/>
          <w:szCs w:val="24"/>
        </w:rPr>
        <w:t xml:space="preserve">nterno deste Tribunal. </w:t>
      </w:r>
    </w:p>
    <w:p w:rsidR="00295DAF" w:rsidRPr="00685189" w:rsidRDefault="009E61A6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b/>
          <w:sz w:val="24"/>
          <w:szCs w:val="24"/>
        </w:rPr>
        <w:t>Art. 3º</w:t>
      </w:r>
      <w:r w:rsidRPr="00685189">
        <w:rPr>
          <w:rFonts w:cs="Arial"/>
          <w:sz w:val="24"/>
          <w:szCs w:val="24"/>
        </w:rPr>
        <w:t xml:space="preserve"> </w:t>
      </w:r>
      <w:r w:rsidR="007F195B" w:rsidRPr="00685189">
        <w:rPr>
          <w:rFonts w:cs="Arial"/>
          <w:sz w:val="24"/>
          <w:szCs w:val="24"/>
        </w:rPr>
        <w:t>Após a publicação do calendário oficial de cada ano</w:t>
      </w:r>
      <w:r w:rsidR="00846F4D" w:rsidRPr="00685189">
        <w:rPr>
          <w:rFonts w:cs="Arial"/>
          <w:sz w:val="24"/>
          <w:szCs w:val="24"/>
        </w:rPr>
        <w:t>, as Secretarias serão responsáveis por elaborar calendário com a previsão</w:t>
      </w:r>
      <w:r w:rsidR="00295DAF" w:rsidRPr="00685189">
        <w:rPr>
          <w:rFonts w:cs="Arial"/>
          <w:sz w:val="24"/>
          <w:szCs w:val="24"/>
        </w:rPr>
        <w:t xml:space="preserve"> </w:t>
      </w:r>
      <w:r w:rsidR="00846F4D" w:rsidRPr="00685189">
        <w:rPr>
          <w:rFonts w:cs="Arial"/>
          <w:sz w:val="24"/>
          <w:szCs w:val="24"/>
        </w:rPr>
        <w:t xml:space="preserve">dos prazos para inclusão de processos novos na pauta. </w:t>
      </w:r>
    </w:p>
    <w:p w:rsidR="0052230B" w:rsidRPr="00685189" w:rsidRDefault="009E61A6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b/>
          <w:sz w:val="24"/>
          <w:szCs w:val="24"/>
        </w:rPr>
        <w:t>Art. 4º</w:t>
      </w:r>
      <w:r w:rsidRPr="00685189">
        <w:rPr>
          <w:rFonts w:cs="Arial"/>
          <w:sz w:val="24"/>
          <w:szCs w:val="24"/>
        </w:rPr>
        <w:t xml:space="preserve"> </w:t>
      </w:r>
      <w:r w:rsidR="006659B9" w:rsidRPr="00685189">
        <w:rPr>
          <w:rFonts w:cs="Arial"/>
          <w:sz w:val="24"/>
          <w:szCs w:val="24"/>
        </w:rPr>
        <w:t>As pautas deve</w:t>
      </w:r>
      <w:r w:rsidR="000943F2" w:rsidRPr="00685189">
        <w:rPr>
          <w:rFonts w:cs="Arial"/>
          <w:sz w:val="24"/>
          <w:szCs w:val="24"/>
        </w:rPr>
        <w:t>rão</w:t>
      </w:r>
      <w:r w:rsidR="006659B9" w:rsidRPr="00685189">
        <w:rPr>
          <w:rFonts w:cs="Arial"/>
          <w:sz w:val="24"/>
          <w:szCs w:val="24"/>
        </w:rPr>
        <w:t xml:space="preserve"> ser disponibilizadas no Diário Eletrônico deste Tribunal, preferencialmente </w:t>
      </w:r>
      <w:r w:rsidR="00AB4FC3" w:rsidRPr="00685189">
        <w:rPr>
          <w:rFonts w:cs="Arial"/>
          <w:sz w:val="24"/>
          <w:szCs w:val="24"/>
        </w:rPr>
        <w:t xml:space="preserve">com </w:t>
      </w:r>
      <w:r w:rsidR="006659B9" w:rsidRPr="00685189">
        <w:rPr>
          <w:rFonts w:cs="Arial"/>
          <w:sz w:val="24"/>
          <w:szCs w:val="24"/>
        </w:rPr>
        <w:t>7 (sete) dias</w:t>
      </w:r>
      <w:r w:rsidR="007F195B" w:rsidRPr="00685189">
        <w:rPr>
          <w:rFonts w:cs="Arial"/>
          <w:sz w:val="24"/>
          <w:szCs w:val="24"/>
        </w:rPr>
        <w:t xml:space="preserve"> úteis</w:t>
      </w:r>
      <w:r w:rsidR="006659B9" w:rsidRPr="00685189">
        <w:rPr>
          <w:rFonts w:cs="Arial"/>
          <w:sz w:val="24"/>
          <w:szCs w:val="24"/>
        </w:rPr>
        <w:t xml:space="preserve"> de antecedência, a fim de evitar que as sessões sejam prejudicadas em caso fortuito e/ou de força maior.</w:t>
      </w:r>
    </w:p>
    <w:p w:rsidR="00846F4D" w:rsidRPr="00685189" w:rsidRDefault="009E61A6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b/>
          <w:sz w:val="24"/>
          <w:szCs w:val="24"/>
        </w:rPr>
        <w:t>Art. 5º</w:t>
      </w:r>
      <w:r w:rsidRPr="00685189">
        <w:rPr>
          <w:rFonts w:cs="Arial"/>
          <w:sz w:val="24"/>
          <w:szCs w:val="24"/>
        </w:rPr>
        <w:t xml:space="preserve"> </w:t>
      </w:r>
      <w:r w:rsidR="00846F4D" w:rsidRPr="00685189">
        <w:rPr>
          <w:rFonts w:cs="Arial"/>
          <w:sz w:val="24"/>
          <w:szCs w:val="24"/>
        </w:rPr>
        <w:t xml:space="preserve">Os processos </w:t>
      </w:r>
      <w:r w:rsidR="0052230B" w:rsidRPr="00685189">
        <w:rPr>
          <w:rFonts w:cs="Arial"/>
          <w:sz w:val="24"/>
          <w:szCs w:val="24"/>
        </w:rPr>
        <w:t>pendentes de julgamento, salvo os adiados expressamente para a sessão seguinte,</w:t>
      </w:r>
      <w:r w:rsidR="00846F4D" w:rsidRPr="00685189">
        <w:rPr>
          <w:rFonts w:cs="Arial"/>
          <w:sz w:val="24"/>
          <w:szCs w:val="24"/>
        </w:rPr>
        <w:t xml:space="preserve"> </w:t>
      </w:r>
      <w:r w:rsidR="0052230B" w:rsidRPr="00685189">
        <w:rPr>
          <w:rFonts w:cs="Arial"/>
          <w:sz w:val="24"/>
          <w:szCs w:val="24"/>
        </w:rPr>
        <w:t xml:space="preserve">serão incluídos em nova pauta </w:t>
      </w:r>
      <w:r w:rsidR="00AB4FC3" w:rsidRPr="00685189">
        <w:rPr>
          <w:rFonts w:cs="Arial"/>
          <w:sz w:val="24"/>
          <w:szCs w:val="24"/>
        </w:rPr>
        <w:t>para a</w:t>
      </w:r>
      <w:r w:rsidR="006659B9" w:rsidRPr="00685189">
        <w:rPr>
          <w:rFonts w:cs="Arial"/>
          <w:sz w:val="24"/>
          <w:szCs w:val="24"/>
        </w:rPr>
        <w:t xml:space="preserve"> data </w:t>
      </w:r>
      <w:r w:rsidR="007F195B" w:rsidRPr="00685189">
        <w:rPr>
          <w:rFonts w:cs="Arial"/>
          <w:sz w:val="24"/>
          <w:szCs w:val="24"/>
        </w:rPr>
        <w:t>indicada em sessão pelo R</w:t>
      </w:r>
      <w:r w:rsidR="0052230B" w:rsidRPr="00685189">
        <w:rPr>
          <w:rFonts w:cs="Arial"/>
          <w:sz w:val="24"/>
          <w:szCs w:val="24"/>
        </w:rPr>
        <w:t xml:space="preserve">elator do processo. </w:t>
      </w:r>
    </w:p>
    <w:p w:rsidR="00AB4FC3" w:rsidRPr="00685189" w:rsidRDefault="00AB4FC3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sz w:val="24"/>
          <w:szCs w:val="24"/>
        </w:rPr>
        <w:t xml:space="preserve">I – </w:t>
      </w:r>
      <w:r w:rsidR="007F195B" w:rsidRPr="00685189">
        <w:rPr>
          <w:rFonts w:cs="Arial"/>
          <w:sz w:val="24"/>
          <w:szCs w:val="24"/>
        </w:rPr>
        <w:t>Caso o Relator deixe de indicar até qual sessão pretende manter o adiamento</w:t>
      </w:r>
      <w:r w:rsidRPr="00685189">
        <w:rPr>
          <w:rFonts w:cs="Arial"/>
          <w:sz w:val="24"/>
          <w:szCs w:val="24"/>
        </w:rPr>
        <w:t xml:space="preserve">, o processo constará na publicação da pauta </w:t>
      </w:r>
      <w:r w:rsidR="009E61A6" w:rsidRPr="00685189">
        <w:rPr>
          <w:rFonts w:cs="Arial"/>
          <w:sz w:val="24"/>
          <w:szCs w:val="24"/>
        </w:rPr>
        <w:t>correspondente</w:t>
      </w:r>
      <w:r w:rsidR="00463C8E" w:rsidRPr="00685189">
        <w:rPr>
          <w:rFonts w:cs="Arial"/>
          <w:sz w:val="24"/>
          <w:szCs w:val="24"/>
        </w:rPr>
        <w:t xml:space="preserve"> </w:t>
      </w:r>
      <w:r w:rsidR="00E86892" w:rsidRPr="00685189">
        <w:rPr>
          <w:rFonts w:cs="Arial"/>
          <w:sz w:val="24"/>
          <w:szCs w:val="24"/>
        </w:rPr>
        <w:t>à</w:t>
      </w:r>
      <w:r w:rsidR="00463C8E" w:rsidRPr="00685189">
        <w:rPr>
          <w:rFonts w:cs="Arial"/>
          <w:sz w:val="24"/>
          <w:szCs w:val="24"/>
        </w:rPr>
        <w:t xml:space="preserve"> última sessão</w:t>
      </w:r>
      <w:r w:rsidR="009E61A6" w:rsidRPr="00685189">
        <w:rPr>
          <w:rFonts w:cs="Arial"/>
          <w:sz w:val="24"/>
          <w:szCs w:val="24"/>
        </w:rPr>
        <w:t xml:space="preserve"> </w:t>
      </w:r>
      <w:r w:rsidR="00463C8E" w:rsidRPr="00685189">
        <w:rPr>
          <w:rFonts w:cs="Arial"/>
          <w:sz w:val="24"/>
          <w:szCs w:val="24"/>
        </w:rPr>
        <w:t>d</w:t>
      </w:r>
      <w:r w:rsidR="009E61A6" w:rsidRPr="00685189">
        <w:rPr>
          <w:rFonts w:cs="Arial"/>
          <w:sz w:val="24"/>
          <w:szCs w:val="24"/>
        </w:rPr>
        <w:t>o prazo regimental</w:t>
      </w:r>
      <w:r w:rsidRPr="00685189">
        <w:rPr>
          <w:rFonts w:cs="Arial"/>
          <w:sz w:val="24"/>
          <w:szCs w:val="24"/>
        </w:rPr>
        <w:t>.</w:t>
      </w:r>
    </w:p>
    <w:p w:rsidR="00D834BF" w:rsidRPr="00685189" w:rsidRDefault="00D834BF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sz w:val="24"/>
          <w:szCs w:val="24"/>
        </w:rPr>
        <w:t>II – Aplica-se a regra prevista no inciso I aos processos com vista cabendo, neste caso, ao Membro solicitante a indicação da data que pretende devolver o processo.</w:t>
      </w:r>
    </w:p>
    <w:p w:rsidR="00F874FC" w:rsidRPr="00685189" w:rsidRDefault="00F874FC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sz w:val="24"/>
          <w:szCs w:val="24"/>
        </w:rPr>
        <w:t>II</w:t>
      </w:r>
      <w:r w:rsidR="00D834BF" w:rsidRPr="00685189">
        <w:rPr>
          <w:rFonts w:cs="Arial"/>
          <w:sz w:val="24"/>
          <w:szCs w:val="24"/>
        </w:rPr>
        <w:t>I</w:t>
      </w:r>
      <w:r w:rsidRPr="00685189">
        <w:rPr>
          <w:rFonts w:cs="Arial"/>
          <w:sz w:val="24"/>
          <w:szCs w:val="24"/>
        </w:rPr>
        <w:t xml:space="preserve"> – Caberá à Secretária de cada órgão colegiado o registro, no sistema </w:t>
      </w:r>
      <w:r w:rsidR="00765ED7" w:rsidRPr="00685189">
        <w:rPr>
          <w:rFonts w:cs="Arial"/>
          <w:sz w:val="24"/>
          <w:szCs w:val="24"/>
        </w:rPr>
        <w:t xml:space="preserve">de </w:t>
      </w:r>
      <w:r w:rsidRPr="00685189">
        <w:rPr>
          <w:rFonts w:cs="Arial"/>
          <w:sz w:val="24"/>
          <w:szCs w:val="24"/>
        </w:rPr>
        <w:t>pauta, da data prevista para o julgamento do processo.</w:t>
      </w:r>
    </w:p>
    <w:p w:rsidR="007F195B" w:rsidRPr="00685189" w:rsidRDefault="00D834BF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sz w:val="24"/>
          <w:szCs w:val="24"/>
        </w:rPr>
        <w:t>IV</w:t>
      </w:r>
      <w:r w:rsidR="00AB4FC3" w:rsidRPr="00685189">
        <w:rPr>
          <w:rFonts w:cs="Arial"/>
          <w:sz w:val="24"/>
          <w:szCs w:val="24"/>
        </w:rPr>
        <w:t xml:space="preserve"> – </w:t>
      </w:r>
      <w:r w:rsidR="007F195B" w:rsidRPr="00685189">
        <w:rPr>
          <w:rFonts w:cs="Arial"/>
          <w:sz w:val="24"/>
          <w:szCs w:val="24"/>
        </w:rPr>
        <w:t>Na hipótese em que o Relator pretender antecipar o julgamento do processo, o</w:t>
      </w:r>
      <w:r w:rsidR="00E86892" w:rsidRPr="00685189">
        <w:rPr>
          <w:rFonts w:cs="Arial"/>
          <w:sz w:val="24"/>
          <w:szCs w:val="24"/>
        </w:rPr>
        <w:t xml:space="preserve"> respectivo</w:t>
      </w:r>
      <w:r w:rsidR="007F195B" w:rsidRPr="00685189">
        <w:rPr>
          <w:rFonts w:cs="Arial"/>
          <w:sz w:val="24"/>
          <w:szCs w:val="24"/>
        </w:rPr>
        <w:t xml:space="preserve"> Gabinete, com antecedência mínima de 10 (dez) dias úteis, deverá </w:t>
      </w:r>
      <w:r w:rsidR="00F874FC" w:rsidRPr="00685189">
        <w:rPr>
          <w:rFonts w:cs="Arial"/>
          <w:sz w:val="24"/>
          <w:szCs w:val="24"/>
        </w:rPr>
        <w:t>informar</w:t>
      </w:r>
      <w:r w:rsidR="007F195B" w:rsidRPr="00685189">
        <w:rPr>
          <w:rFonts w:cs="Arial"/>
          <w:sz w:val="24"/>
          <w:szCs w:val="24"/>
        </w:rPr>
        <w:t xml:space="preserve"> à Secretaria</w:t>
      </w:r>
      <w:r w:rsidR="00F874FC" w:rsidRPr="00685189">
        <w:rPr>
          <w:rFonts w:cs="Arial"/>
          <w:sz w:val="24"/>
          <w:szCs w:val="24"/>
        </w:rPr>
        <w:t>, que efetuará a nova inclusão do processo na pauta a ser publicada.</w:t>
      </w:r>
      <w:r w:rsidR="007F195B" w:rsidRPr="00685189">
        <w:rPr>
          <w:rFonts w:cs="Arial"/>
          <w:sz w:val="24"/>
          <w:szCs w:val="24"/>
        </w:rPr>
        <w:t xml:space="preserve"> </w:t>
      </w:r>
    </w:p>
    <w:p w:rsidR="00A40702" w:rsidRPr="00685189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b/>
          <w:sz w:val="24"/>
          <w:szCs w:val="24"/>
        </w:rPr>
        <w:lastRenderedPageBreak/>
        <w:t xml:space="preserve">Art. </w:t>
      </w:r>
      <w:r w:rsidR="009E61A6" w:rsidRPr="00685189">
        <w:rPr>
          <w:rFonts w:cs="Arial"/>
          <w:b/>
          <w:sz w:val="24"/>
          <w:szCs w:val="24"/>
        </w:rPr>
        <w:t>6</w:t>
      </w:r>
      <w:r w:rsidRPr="00685189">
        <w:rPr>
          <w:rFonts w:cs="Arial"/>
          <w:b/>
          <w:sz w:val="24"/>
          <w:szCs w:val="24"/>
        </w:rPr>
        <w:t>º</w:t>
      </w:r>
      <w:r w:rsidRPr="00685189">
        <w:rPr>
          <w:rFonts w:cs="Arial"/>
          <w:sz w:val="24"/>
          <w:szCs w:val="24"/>
        </w:rPr>
        <w:t xml:space="preserve"> </w:t>
      </w:r>
      <w:r w:rsidR="00A21833" w:rsidRPr="00685189">
        <w:rPr>
          <w:rFonts w:cs="Arial"/>
          <w:sz w:val="24"/>
          <w:szCs w:val="24"/>
        </w:rPr>
        <w:t>A pauta consulta</w:t>
      </w:r>
      <w:r w:rsidR="009E61A6" w:rsidRPr="00685189">
        <w:rPr>
          <w:rFonts w:cs="Arial"/>
          <w:sz w:val="24"/>
          <w:szCs w:val="24"/>
        </w:rPr>
        <w:t>, contendo a lista de todos os processos novos incluídos e pendentes de julgamento,</w:t>
      </w:r>
      <w:r w:rsidR="00A21833" w:rsidRPr="00685189">
        <w:rPr>
          <w:rFonts w:cs="Arial"/>
          <w:sz w:val="24"/>
          <w:szCs w:val="24"/>
        </w:rPr>
        <w:t xml:space="preserve"> será disponibilizada </w:t>
      </w:r>
      <w:r w:rsidR="001C7F12" w:rsidRPr="00685189">
        <w:rPr>
          <w:rFonts w:cs="Arial"/>
          <w:sz w:val="24"/>
          <w:szCs w:val="24"/>
        </w:rPr>
        <w:t>no sítio eletrônico</w:t>
      </w:r>
      <w:r w:rsidR="00A21833" w:rsidRPr="00685189">
        <w:rPr>
          <w:rFonts w:cs="Arial"/>
          <w:sz w:val="24"/>
          <w:szCs w:val="24"/>
        </w:rPr>
        <w:t xml:space="preserve"> do Tribunal na internet, preferencialmente às sextas-feiras.</w:t>
      </w:r>
    </w:p>
    <w:p w:rsidR="002A592C" w:rsidRPr="00685189" w:rsidRDefault="002A592C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sz w:val="24"/>
          <w:szCs w:val="24"/>
        </w:rPr>
        <w:t xml:space="preserve">Parágrafo único. </w:t>
      </w:r>
      <w:r w:rsidR="00F874FC" w:rsidRPr="00685189">
        <w:rPr>
          <w:rFonts w:cs="Arial"/>
          <w:sz w:val="24"/>
          <w:szCs w:val="24"/>
        </w:rPr>
        <w:t>O</w:t>
      </w:r>
      <w:r w:rsidRPr="00685189">
        <w:rPr>
          <w:rFonts w:cs="Arial"/>
          <w:sz w:val="24"/>
          <w:szCs w:val="24"/>
        </w:rPr>
        <w:t xml:space="preserve"> conteúdo da pauta consulta </w:t>
      </w:r>
      <w:r w:rsidR="00F874FC" w:rsidRPr="00685189">
        <w:rPr>
          <w:rFonts w:cs="Arial"/>
          <w:sz w:val="24"/>
          <w:szCs w:val="24"/>
        </w:rPr>
        <w:t>possui caráter meramente informativo</w:t>
      </w:r>
      <w:r w:rsidRPr="00685189">
        <w:rPr>
          <w:rFonts w:cs="Arial"/>
          <w:sz w:val="24"/>
          <w:szCs w:val="24"/>
        </w:rPr>
        <w:t>.</w:t>
      </w:r>
    </w:p>
    <w:p w:rsidR="00A40702" w:rsidRPr="00685189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24"/>
          <w:szCs w:val="24"/>
        </w:rPr>
      </w:pPr>
      <w:r w:rsidRPr="00685189">
        <w:rPr>
          <w:rFonts w:cs="Arial"/>
          <w:b/>
          <w:sz w:val="24"/>
          <w:szCs w:val="24"/>
        </w:rPr>
        <w:t xml:space="preserve">Art. </w:t>
      </w:r>
      <w:r w:rsidR="009E61A6" w:rsidRPr="00685189">
        <w:rPr>
          <w:rFonts w:cs="Arial"/>
          <w:b/>
          <w:sz w:val="24"/>
          <w:szCs w:val="24"/>
        </w:rPr>
        <w:t>7</w:t>
      </w:r>
      <w:r w:rsidR="002A592C" w:rsidRPr="00685189">
        <w:rPr>
          <w:rFonts w:cs="Arial"/>
          <w:b/>
          <w:sz w:val="24"/>
          <w:szCs w:val="24"/>
        </w:rPr>
        <w:t>º</w:t>
      </w:r>
      <w:r w:rsidRPr="00685189">
        <w:rPr>
          <w:rFonts w:cs="Arial"/>
          <w:sz w:val="24"/>
          <w:szCs w:val="24"/>
        </w:rPr>
        <w:t xml:space="preserve"> Esta Instrução de Serviço entra em vigor na data de sua publicação.</w:t>
      </w:r>
    </w:p>
    <w:p w:rsidR="00A40702" w:rsidRPr="00685189" w:rsidRDefault="00A40702" w:rsidP="00BF75C8">
      <w:pPr>
        <w:pStyle w:val="Recuodecorpodetexto3"/>
        <w:spacing w:before="360" w:after="0"/>
        <w:ind w:left="425" w:firstLine="709"/>
        <w:rPr>
          <w:rFonts w:cs="Arial"/>
          <w:sz w:val="24"/>
          <w:szCs w:val="24"/>
        </w:rPr>
      </w:pPr>
      <w:r w:rsidRPr="00685189">
        <w:rPr>
          <w:rFonts w:cs="Arial"/>
          <w:sz w:val="24"/>
          <w:szCs w:val="24"/>
        </w:rPr>
        <w:t xml:space="preserve">Curitiba, </w:t>
      </w:r>
      <w:r w:rsidR="002C6FF7" w:rsidRPr="00685189">
        <w:rPr>
          <w:rFonts w:cs="Arial"/>
          <w:sz w:val="24"/>
          <w:szCs w:val="24"/>
        </w:rPr>
        <w:t xml:space="preserve">04 de novembro </w:t>
      </w:r>
      <w:r w:rsidRPr="00685189">
        <w:rPr>
          <w:rFonts w:cs="Arial"/>
          <w:sz w:val="24"/>
          <w:szCs w:val="24"/>
        </w:rPr>
        <w:t>de 2016.</w:t>
      </w:r>
    </w:p>
    <w:p w:rsidR="00A40702" w:rsidRPr="00685189" w:rsidRDefault="00A40702" w:rsidP="00BF75C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sz w:val="24"/>
          <w:szCs w:val="24"/>
        </w:rPr>
      </w:pPr>
      <w:r w:rsidRPr="00685189">
        <w:rPr>
          <w:rFonts w:cs="Arial"/>
          <w:sz w:val="24"/>
          <w:szCs w:val="24"/>
        </w:rPr>
        <w:t>Conselheiro IVAN LELIS BONILHA</w:t>
      </w:r>
    </w:p>
    <w:p w:rsidR="004321F1" w:rsidRPr="00685189" w:rsidRDefault="00A40702" w:rsidP="00A4070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  <w:szCs w:val="24"/>
        </w:rPr>
      </w:pPr>
      <w:r w:rsidRPr="00685189">
        <w:rPr>
          <w:rFonts w:cs="Arial"/>
          <w:sz w:val="24"/>
          <w:szCs w:val="24"/>
        </w:rPr>
        <w:t>Presidente</w:t>
      </w:r>
    </w:p>
    <w:sectPr w:rsidR="004321F1" w:rsidRPr="00685189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84" w:rsidRDefault="00DE2C84">
      <w:r>
        <w:separator/>
      </w:r>
    </w:p>
  </w:endnote>
  <w:endnote w:type="continuationSeparator" w:id="0">
    <w:p w:rsidR="00DE2C84" w:rsidRDefault="00DE2C84">
      <w:r>
        <w:continuationSeparator/>
      </w:r>
    </w:p>
  </w:endnote>
  <w:endnote w:type="continuationNotice" w:id="1">
    <w:p w:rsidR="00DE2C84" w:rsidRDefault="00DE2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2A592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592C" w:rsidRDefault="002A592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2A592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84" w:rsidRDefault="00DE2C84">
      <w:r>
        <w:separator/>
      </w:r>
    </w:p>
  </w:footnote>
  <w:footnote w:type="continuationSeparator" w:id="0">
    <w:p w:rsidR="00DE2C84" w:rsidRDefault="00DE2C84">
      <w:r>
        <w:continuationSeparator/>
      </w:r>
    </w:p>
  </w:footnote>
  <w:footnote w:type="continuationNotice" w:id="1">
    <w:p w:rsidR="00DE2C84" w:rsidRDefault="00DE2C84"/>
  </w:footnote>
  <w:footnote w:id="2">
    <w:p w:rsidR="00685189" w:rsidRPr="001F7238" w:rsidRDefault="00685189" w:rsidP="00685189">
      <w:pPr>
        <w:pStyle w:val="Textodenotaderodap"/>
        <w:rPr>
          <w:rFonts w:cs="Arial"/>
        </w:rPr>
      </w:pPr>
      <w:r w:rsidRPr="00685189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cs="Arial"/>
          <w:b/>
        </w:rPr>
        <w:t>N</w:t>
      </w:r>
      <w:bookmarkStart w:id="2" w:name="_GoBack"/>
      <w:r w:rsidR="00B47791" w:rsidRPr="001F7238">
        <w:rPr>
          <w:rFonts w:cs="Arial"/>
          <w:b/>
        </w:rPr>
        <w:t>otas</w:t>
      </w:r>
      <w:bookmarkEnd w:id="2"/>
      <w:r w:rsidRPr="001F7238">
        <w:rPr>
          <w:rFonts w:cs="Arial"/>
          <w:b/>
        </w:rPr>
        <w:t xml:space="preserve"> da Biblioteca:</w:t>
      </w:r>
    </w:p>
    <w:p w:rsidR="00685189" w:rsidRPr="00685189" w:rsidRDefault="00685189" w:rsidP="00685189">
      <w:pPr>
        <w:pStyle w:val="NormalWeb"/>
        <w:numPr>
          <w:ilvl w:val="0"/>
          <w:numId w:val="6"/>
        </w:numPr>
        <w:spacing w:before="0" w:beforeAutospacing="0" w:after="0" w:line="240" w:lineRule="auto"/>
        <w:ind w:left="284" w:hanging="284"/>
        <w:textAlignment w:val="top"/>
        <w:rPr>
          <w:rFonts w:cs="Arial"/>
        </w:rPr>
      </w:pPr>
      <w:bookmarkStart w:id="3" w:name="_Hlk870405"/>
      <w:bookmarkEnd w:id="0"/>
      <w:r w:rsidRPr="00685189">
        <w:rPr>
          <w:rFonts w:cs="Arial"/>
        </w:rPr>
        <w:t>Este texto não substitui o publicado no periódico:</w:t>
      </w:r>
      <w:bookmarkEnd w:id="1"/>
      <w:bookmarkEnd w:id="3"/>
      <w:r w:rsidRPr="00685189">
        <w:rPr>
          <w:rFonts w:cs="Arial"/>
        </w:rPr>
        <w:t xml:space="preserve"> Disponível em: </w:t>
      </w:r>
      <w:hyperlink r:id="rId1" w:history="1">
        <w:r w:rsidRPr="00685189">
          <w:rPr>
            <w:rStyle w:val="Hyperlink"/>
            <w:rFonts w:cs="Arial"/>
          </w:rPr>
          <w:t>Diário Eletrônico do Tribunal de Contas do Estado do Paraná, Curitiba, PR, n. 1476, 4 nov. 2016, p. 101</w:t>
        </w:r>
      </w:hyperlink>
      <w:r w:rsidRPr="00685189">
        <w:rPr>
          <w:rFonts w:cs="Arial"/>
        </w:rPr>
        <w:t>.</w:t>
      </w:r>
    </w:p>
    <w:p w:rsidR="00685189" w:rsidRDefault="00685189" w:rsidP="00685189">
      <w:pPr>
        <w:pStyle w:val="NormalWeb"/>
        <w:numPr>
          <w:ilvl w:val="0"/>
          <w:numId w:val="6"/>
        </w:numPr>
        <w:spacing w:before="0" w:beforeAutospacing="0" w:after="0" w:line="240" w:lineRule="auto"/>
        <w:ind w:left="284" w:hanging="284"/>
        <w:textAlignment w:val="top"/>
        <w:rPr>
          <w:rFonts w:cs="Arial"/>
        </w:rPr>
      </w:pPr>
      <w:r w:rsidRPr="00685189">
        <w:rPr>
          <w:rFonts w:cs="Arial"/>
        </w:rPr>
        <w:t xml:space="preserve">Republicação disponível em: </w:t>
      </w:r>
      <w:hyperlink r:id="rId2" w:history="1">
        <w:r w:rsidRPr="00685189">
          <w:rPr>
            <w:rStyle w:val="Hyperlink"/>
            <w:rFonts w:cs="Arial"/>
          </w:rPr>
          <w:t>Diário Eletrônico do Tribunal de Contas do Estado do Paraná, Curitiba, PR, n. 1479, 9 nov. 2016, p. 69</w:t>
        </w:r>
      </w:hyperlink>
      <w:r w:rsidRPr="00685189">
        <w:rPr>
          <w:rFonts w:cs="Arial"/>
        </w:rPr>
        <w:t>.</w:t>
      </w:r>
    </w:p>
    <w:p w:rsidR="00685189" w:rsidRPr="00685189" w:rsidRDefault="00685189" w:rsidP="00685189">
      <w:pPr>
        <w:pStyle w:val="NormalWeb"/>
        <w:numPr>
          <w:ilvl w:val="0"/>
          <w:numId w:val="6"/>
        </w:numPr>
        <w:spacing w:before="0" w:beforeAutospacing="0" w:after="0" w:line="240" w:lineRule="auto"/>
        <w:ind w:left="284" w:hanging="284"/>
        <w:textAlignment w:val="top"/>
        <w:rPr>
          <w:rFonts w:cs="Arial"/>
        </w:rPr>
      </w:pPr>
      <w:r w:rsidRPr="00685189">
        <w:rPr>
          <w:rStyle w:val="Forte"/>
          <w:color w:val="FF0000"/>
        </w:rPr>
        <w:t>Revogada</w:t>
      </w:r>
      <w:r>
        <w:t xml:space="preserve"> por: </w:t>
      </w:r>
      <w:hyperlink r:id="rId3" w:history="1">
        <w:r>
          <w:rPr>
            <w:rStyle w:val="Hyperlink"/>
          </w:rPr>
          <w:t>Instrução de Serviço n. 108, de 17 de novembro de 2016</w:t>
        </w:r>
      </w:hyperlink>
      <w:r>
        <w:t>.</w:t>
      </w:r>
    </w:p>
    <w:p w:rsidR="00685189" w:rsidRDefault="00685189" w:rsidP="0068518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B47791" w:rsidP="000A0386">
    <w:pPr>
      <w:pStyle w:val="Cabealho"/>
      <w:spacing w:before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2A592C" w:rsidRPr="00C404BE">
      <w:rPr>
        <w:rFonts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2741A"/>
    <w:multiLevelType w:val="hybridMultilevel"/>
    <w:tmpl w:val="BE06A1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048"/>
    <w:rsid w:val="000707C6"/>
    <w:rsid w:val="00070A4B"/>
    <w:rsid w:val="00081959"/>
    <w:rsid w:val="0008630F"/>
    <w:rsid w:val="00093481"/>
    <w:rsid w:val="000943F2"/>
    <w:rsid w:val="0009606F"/>
    <w:rsid w:val="000A0122"/>
    <w:rsid w:val="000A0386"/>
    <w:rsid w:val="000A61B9"/>
    <w:rsid w:val="000B3A16"/>
    <w:rsid w:val="000B4E9F"/>
    <w:rsid w:val="000C68A9"/>
    <w:rsid w:val="000E26FD"/>
    <w:rsid w:val="000F06EE"/>
    <w:rsid w:val="000F2716"/>
    <w:rsid w:val="001000B9"/>
    <w:rsid w:val="0010245F"/>
    <w:rsid w:val="001075BD"/>
    <w:rsid w:val="0011369C"/>
    <w:rsid w:val="00123DE1"/>
    <w:rsid w:val="00124A35"/>
    <w:rsid w:val="0012745F"/>
    <w:rsid w:val="00142ADD"/>
    <w:rsid w:val="00146978"/>
    <w:rsid w:val="00147824"/>
    <w:rsid w:val="001543CD"/>
    <w:rsid w:val="00155EC7"/>
    <w:rsid w:val="00156286"/>
    <w:rsid w:val="00160A61"/>
    <w:rsid w:val="001714BF"/>
    <w:rsid w:val="001A1B1C"/>
    <w:rsid w:val="001A4E83"/>
    <w:rsid w:val="001A729C"/>
    <w:rsid w:val="001B1BF6"/>
    <w:rsid w:val="001C3295"/>
    <w:rsid w:val="001C7F12"/>
    <w:rsid w:val="001D07D2"/>
    <w:rsid w:val="001D0B09"/>
    <w:rsid w:val="001D2E4D"/>
    <w:rsid w:val="001E2907"/>
    <w:rsid w:val="001F297B"/>
    <w:rsid w:val="002235DE"/>
    <w:rsid w:val="00236FE2"/>
    <w:rsid w:val="00241274"/>
    <w:rsid w:val="00252933"/>
    <w:rsid w:val="00264749"/>
    <w:rsid w:val="00283F4D"/>
    <w:rsid w:val="00291D10"/>
    <w:rsid w:val="00295DAF"/>
    <w:rsid w:val="002A15EE"/>
    <w:rsid w:val="002A592C"/>
    <w:rsid w:val="002A61F0"/>
    <w:rsid w:val="002C6FF7"/>
    <w:rsid w:val="002D2E8D"/>
    <w:rsid w:val="002E01F5"/>
    <w:rsid w:val="002E3E39"/>
    <w:rsid w:val="002F7228"/>
    <w:rsid w:val="00300126"/>
    <w:rsid w:val="00310B08"/>
    <w:rsid w:val="00312033"/>
    <w:rsid w:val="00322FE4"/>
    <w:rsid w:val="0032568C"/>
    <w:rsid w:val="00334CD1"/>
    <w:rsid w:val="0033778A"/>
    <w:rsid w:val="00352ECA"/>
    <w:rsid w:val="0035628D"/>
    <w:rsid w:val="003624E0"/>
    <w:rsid w:val="003705BD"/>
    <w:rsid w:val="00374244"/>
    <w:rsid w:val="00381ACE"/>
    <w:rsid w:val="00383559"/>
    <w:rsid w:val="003928C6"/>
    <w:rsid w:val="003939F6"/>
    <w:rsid w:val="003A1E57"/>
    <w:rsid w:val="003C03F8"/>
    <w:rsid w:val="003C2825"/>
    <w:rsid w:val="003C7C72"/>
    <w:rsid w:val="003F04EA"/>
    <w:rsid w:val="00400C68"/>
    <w:rsid w:val="00406008"/>
    <w:rsid w:val="00411F59"/>
    <w:rsid w:val="00415B8A"/>
    <w:rsid w:val="004179B6"/>
    <w:rsid w:val="00422757"/>
    <w:rsid w:val="00423C8F"/>
    <w:rsid w:val="004321F1"/>
    <w:rsid w:val="00435004"/>
    <w:rsid w:val="004416A7"/>
    <w:rsid w:val="004505CE"/>
    <w:rsid w:val="004604F8"/>
    <w:rsid w:val="00460C5E"/>
    <w:rsid w:val="00463C8E"/>
    <w:rsid w:val="00466C39"/>
    <w:rsid w:val="004758F8"/>
    <w:rsid w:val="004A0FD9"/>
    <w:rsid w:val="004B2D7F"/>
    <w:rsid w:val="004B5683"/>
    <w:rsid w:val="004C7958"/>
    <w:rsid w:val="004D51A3"/>
    <w:rsid w:val="004E199E"/>
    <w:rsid w:val="004F2A35"/>
    <w:rsid w:val="00500543"/>
    <w:rsid w:val="00506D3A"/>
    <w:rsid w:val="005113FA"/>
    <w:rsid w:val="00516C2C"/>
    <w:rsid w:val="0052230B"/>
    <w:rsid w:val="0052418C"/>
    <w:rsid w:val="005373C1"/>
    <w:rsid w:val="005610E6"/>
    <w:rsid w:val="00564BDA"/>
    <w:rsid w:val="00567F4C"/>
    <w:rsid w:val="005750B8"/>
    <w:rsid w:val="005856C5"/>
    <w:rsid w:val="00594E80"/>
    <w:rsid w:val="005C2BC8"/>
    <w:rsid w:val="005C3A9D"/>
    <w:rsid w:val="005D2CBB"/>
    <w:rsid w:val="005D42B6"/>
    <w:rsid w:val="005E49AE"/>
    <w:rsid w:val="005E595E"/>
    <w:rsid w:val="00612EA8"/>
    <w:rsid w:val="00620F3E"/>
    <w:rsid w:val="0062605A"/>
    <w:rsid w:val="006274DB"/>
    <w:rsid w:val="00633441"/>
    <w:rsid w:val="006509DA"/>
    <w:rsid w:val="0065362B"/>
    <w:rsid w:val="0065505A"/>
    <w:rsid w:val="00656005"/>
    <w:rsid w:val="0066249C"/>
    <w:rsid w:val="006659B9"/>
    <w:rsid w:val="006669EF"/>
    <w:rsid w:val="006715CC"/>
    <w:rsid w:val="006817D5"/>
    <w:rsid w:val="006826EE"/>
    <w:rsid w:val="00682FB8"/>
    <w:rsid w:val="00684E15"/>
    <w:rsid w:val="00685189"/>
    <w:rsid w:val="006A1E68"/>
    <w:rsid w:val="006A4ED3"/>
    <w:rsid w:val="006B06BB"/>
    <w:rsid w:val="006B3F7F"/>
    <w:rsid w:val="006B6DBE"/>
    <w:rsid w:val="006D52C5"/>
    <w:rsid w:val="006F3862"/>
    <w:rsid w:val="00701946"/>
    <w:rsid w:val="0070445C"/>
    <w:rsid w:val="007138BA"/>
    <w:rsid w:val="007139AE"/>
    <w:rsid w:val="007163D7"/>
    <w:rsid w:val="00716741"/>
    <w:rsid w:val="007226A3"/>
    <w:rsid w:val="007362B6"/>
    <w:rsid w:val="0073771A"/>
    <w:rsid w:val="0074757A"/>
    <w:rsid w:val="00754614"/>
    <w:rsid w:val="0076226C"/>
    <w:rsid w:val="00765ED7"/>
    <w:rsid w:val="00773F6B"/>
    <w:rsid w:val="00787410"/>
    <w:rsid w:val="00790839"/>
    <w:rsid w:val="007B541D"/>
    <w:rsid w:val="007B6480"/>
    <w:rsid w:val="007D161B"/>
    <w:rsid w:val="007D5C43"/>
    <w:rsid w:val="007F195B"/>
    <w:rsid w:val="007F5FCC"/>
    <w:rsid w:val="007F68E0"/>
    <w:rsid w:val="007F75CF"/>
    <w:rsid w:val="0080078E"/>
    <w:rsid w:val="00807861"/>
    <w:rsid w:val="00820D40"/>
    <w:rsid w:val="0082162C"/>
    <w:rsid w:val="00845CF2"/>
    <w:rsid w:val="00846F4D"/>
    <w:rsid w:val="00853806"/>
    <w:rsid w:val="00871899"/>
    <w:rsid w:val="00871987"/>
    <w:rsid w:val="008719F5"/>
    <w:rsid w:val="00881F22"/>
    <w:rsid w:val="0088650E"/>
    <w:rsid w:val="008A01F0"/>
    <w:rsid w:val="008B1B7F"/>
    <w:rsid w:val="008B53BF"/>
    <w:rsid w:val="008B7716"/>
    <w:rsid w:val="008C4F25"/>
    <w:rsid w:val="008D5003"/>
    <w:rsid w:val="008D6EE8"/>
    <w:rsid w:val="008E696C"/>
    <w:rsid w:val="008F4A32"/>
    <w:rsid w:val="0090337D"/>
    <w:rsid w:val="00906E4D"/>
    <w:rsid w:val="00916D5F"/>
    <w:rsid w:val="00916DB6"/>
    <w:rsid w:val="00925569"/>
    <w:rsid w:val="0093139A"/>
    <w:rsid w:val="00940DA6"/>
    <w:rsid w:val="009410CA"/>
    <w:rsid w:val="00947334"/>
    <w:rsid w:val="00972A99"/>
    <w:rsid w:val="009A1923"/>
    <w:rsid w:val="009B718E"/>
    <w:rsid w:val="009D3772"/>
    <w:rsid w:val="009D4554"/>
    <w:rsid w:val="009E61A6"/>
    <w:rsid w:val="00A12F53"/>
    <w:rsid w:val="00A21833"/>
    <w:rsid w:val="00A40702"/>
    <w:rsid w:val="00A678E7"/>
    <w:rsid w:val="00A82EE8"/>
    <w:rsid w:val="00A87661"/>
    <w:rsid w:val="00A94A88"/>
    <w:rsid w:val="00A953B5"/>
    <w:rsid w:val="00AA4452"/>
    <w:rsid w:val="00AB3FEC"/>
    <w:rsid w:val="00AB4FC3"/>
    <w:rsid w:val="00AC706A"/>
    <w:rsid w:val="00AD0FAF"/>
    <w:rsid w:val="00AD17AE"/>
    <w:rsid w:val="00AD2695"/>
    <w:rsid w:val="00AD3186"/>
    <w:rsid w:val="00AD67E1"/>
    <w:rsid w:val="00AD7387"/>
    <w:rsid w:val="00AD7EE2"/>
    <w:rsid w:val="00AF7189"/>
    <w:rsid w:val="00B05910"/>
    <w:rsid w:val="00B122F7"/>
    <w:rsid w:val="00B128BA"/>
    <w:rsid w:val="00B22DDC"/>
    <w:rsid w:val="00B32496"/>
    <w:rsid w:val="00B33609"/>
    <w:rsid w:val="00B374ED"/>
    <w:rsid w:val="00B41257"/>
    <w:rsid w:val="00B41CC5"/>
    <w:rsid w:val="00B47791"/>
    <w:rsid w:val="00B52B88"/>
    <w:rsid w:val="00B71E34"/>
    <w:rsid w:val="00B811DC"/>
    <w:rsid w:val="00B96EE0"/>
    <w:rsid w:val="00BB381A"/>
    <w:rsid w:val="00BF0753"/>
    <w:rsid w:val="00BF694F"/>
    <w:rsid w:val="00BF75C8"/>
    <w:rsid w:val="00BF7889"/>
    <w:rsid w:val="00C17F9B"/>
    <w:rsid w:val="00C407CD"/>
    <w:rsid w:val="00C474AE"/>
    <w:rsid w:val="00C55510"/>
    <w:rsid w:val="00C569EE"/>
    <w:rsid w:val="00C84F53"/>
    <w:rsid w:val="00C87498"/>
    <w:rsid w:val="00C938C7"/>
    <w:rsid w:val="00CA7DC2"/>
    <w:rsid w:val="00CD0DAD"/>
    <w:rsid w:val="00CE0A9A"/>
    <w:rsid w:val="00D25EA1"/>
    <w:rsid w:val="00D26878"/>
    <w:rsid w:val="00D3131E"/>
    <w:rsid w:val="00D361B6"/>
    <w:rsid w:val="00D43139"/>
    <w:rsid w:val="00D50162"/>
    <w:rsid w:val="00D51F81"/>
    <w:rsid w:val="00D53A29"/>
    <w:rsid w:val="00D54667"/>
    <w:rsid w:val="00D64123"/>
    <w:rsid w:val="00D73867"/>
    <w:rsid w:val="00D80342"/>
    <w:rsid w:val="00D834BF"/>
    <w:rsid w:val="00D856B8"/>
    <w:rsid w:val="00D86ADD"/>
    <w:rsid w:val="00D97E7A"/>
    <w:rsid w:val="00DA5E5A"/>
    <w:rsid w:val="00DB49FD"/>
    <w:rsid w:val="00DB7029"/>
    <w:rsid w:val="00DC54E2"/>
    <w:rsid w:val="00DE2C84"/>
    <w:rsid w:val="00DE449D"/>
    <w:rsid w:val="00DF0810"/>
    <w:rsid w:val="00DF1050"/>
    <w:rsid w:val="00DF5A18"/>
    <w:rsid w:val="00E01963"/>
    <w:rsid w:val="00E0734C"/>
    <w:rsid w:val="00E112FC"/>
    <w:rsid w:val="00E33318"/>
    <w:rsid w:val="00E43C43"/>
    <w:rsid w:val="00E64F38"/>
    <w:rsid w:val="00E86892"/>
    <w:rsid w:val="00EA21A3"/>
    <w:rsid w:val="00EB5FE3"/>
    <w:rsid w:val="00EC2AA7"/>
    <w:rsid w:val="00EC4961"/>
    <w:rsid w:val="00EF5FF1"/>
    <w:rsid w:val="00F018F1"/>
    <w:rsid w:val="00F25C41"/>
    <w:rsid w:val="00F40F61"/>
    <w:rsid w:val="00F50259"/>
    <w:rsid w:val="00F84414"/>
    <w:rsid w:val="00F874FC"/>
    <w:rsid w:val="00F92DC4"/>
    <w:rsid w:val="00FB02DF"/>
    <w:rsid w:val="00FB7AFF"/>
    <w:rsid w:val="00FC13DE"/>
    <w:rsid w:val="00FC1597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1F92EF-604A-45A2-A591-9B65E03C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Assunto">
    <w:name w:val="Assunto"/>
    <w:basedOn w:val="Normal"/>
    <w:rsid w:val="00383559"/>
    <w:pPr>
      <w:keepNext/>
      <w:numPr>
        <w:numId w:val="4"/>
      </w:numPr>
      <w:spacing w:before="240" w:after="120"/>
    </w:pPr>
    <w:rPr>
      <w:rFonts w:cs="Arial"/>
      <w:b/>
      <w:bCs/>
      <w:sz w:val="22"/>
    </w:rPr>
  </w:style>
  <w:style w:type="paragraph" w:customStyle="1" w:styleId="Default">
    <w:name w:val="Default"/>
    <w:rsid w:val="00070048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5D2CB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D2CBB"/>
  </w:style>
  <w:style w:type="character" w:customStyle="1" w:styleId="TextodecomentrioChar">
    <w:name w:val="Texto de comentário Char"/>
    <w:basedOn w:val="Fontepargpadro"/>
    <w:link w:val="Textodecomentrio"/>
    <w:rsid w:val="005D2CBB"/>
  </w:style>
  <w:style w:type="paragraph" w:styleId="Assuntodocomentrio">
    <w:name w:val="annotation subject"/>
    <w:basedOn w:val="Textodecomentrio"/>
    <w:next w:val="Textodecomentrio"/>
    <w:link w:val="AssuntodocomentrioChar"/>
    <w:rsid w:val="005D2CBB"/>
    <w:rPr>
      <w:b/>
      <w:bCs/>
    </w:rPr>
  </w:style>
  <w:style w:type="character" w:customStyle="1" w:styleId="AssuntodocomentrioChar">
    <w:name w:val="Assunto do comentário Char"/>
    <w:link w:val="Assuntodocomentrio"/>
    <w:rsid w:val="005D2CBB"/>
    <w:rPr>
      <w:b/>
      <w:bCs/>
    </w:rPr>
  </w:style>
  <w:style w:type="paragraph" w:styleId="Textodenotaderodap">
    <w:name w:val="footnote text"/>
    <w:basedOn w:val="Normal"/>
    <w:link w:val="TextodenotaderodapChar"/>
    <w:rsid w:val="00685189"/>
  </w:style>
  <w:style w:type="character" w:customStyle="1" w:styleId="TextodenotaderodapChar">
    <w:name w:val="Texto de nota de rodapé Char"/>
    <w:basedOn w:val="Fontepargpadro"/>
    <w:link w:val="Textodenotaderodap"/>
    <w:rsid w:val="00685189"/>
  </w:style>
  <w:style w:type="character" w:styleId="Refdenotaderodap">
    <w:name w:val="footnote reference"/>
    <w:basedOn w:val="Fontepargpadro"/>
    <w:rsid w:val="00685189"/>
    <w:rPr>
      <w:vertAlign w:val="superscript"/>
    </w:rPr>
  </w:style>
  <w:style w:type="character" w:styleId="Hyperlink">
    <w:name w:val="Hyperlink"/>
    <w:uiPriority w:val="99"/>
    <w:unhideWhenUsed/>
    <w:rsid w:val="00685189"/>
    <w:rPr>
      <w:color w:val="004C78"/>
      <w:u w:val="single"/>
    </w:rPr>
  </w:style>
  <w:style w:type="paragraph" w:styleId="NormalWeb">
    <w:name w:val="Normal (Web)"/>
    <w:basedOn w:val="Normal"/>
    <w:uiPriority w:val="99"/>
    <w:unhideWhenUsed/>
    <w:rsid w:val="00685189"/>
    <w:pPr>
      <w:spacing w:before="100" w:beforeAutospacing="1" w:after="180" w:line="300" w:lineRule="atLeast"/>
    </w:pPr>
  </w:style>
  <w:style w:type="character" w:styleId="Forte">
    <w:name w:val="Strong"/>
    <w:uiPriority w:val="22"/>
    <w:qFormat/>
    <w:rsid w:val="00685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6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2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08-de-17-de-novembro-de-2016/294152/area/10" TargetMode="External"/><Relationship Id="rId2" Type="http://schemas.openxmlformats.org/officeDocument/2006/relationships/hyperlink" Target="http://www1.tce.pr.gov.br/multimidia/2016/11/pdf/00304945.pdf" TargetMode="External"/><Relationship Id="rId1" Type="http://schemas.openxmlformats.org/officeDocument/2006/relationships/hyperlink" Target="http://www1.tce.pr.gov.br/multimidia/2016/11/pdf/003046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006A-172C-4E1A-9119-F9F654E943B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B2D999-0D0A-41EE-9E9A-4B3B5EC8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cp:lastPrinted>2016-10-27T13:26:00Z</cp:lastPrinted>
  <dcterms:created xsi:type="dcterms:W3CDTF">2019-02-13T13:38:00Z</dcterms:created>
  <dcterms:modified xsi:type="dcterms:W3CDTF">2019-02-13T13:41:00Z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