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84F" w:rsidRDefault="00EB084F" w:rsidP="00EB084F">
      <w:pPr>
        <w:pStyle w:val="Default"/>
        <w:spacing w:before="240" w:after="120"/>
        <w:jc w:val="center"/>
        <w:rPr>
          <w:sz w:val="28"/>
          <w:szCs w:val="28"/>
        </w:rPr>
      </w:pPr>
      <w:bookmarkStart w:id="0" w:name="_Hlk10724261"/>
      <w:bookmarkStart w:id="1" w:name="_GoBack"/>
      <w:bookmarkEnd w:id="1"/>
      <w:r>
        <w:rPr>
          <w:b/>
          <w:bCs/>
          <w:sz w:val="28"/>
          <w:szCs w:val="28"/>
        </w:rPr>
        <w:t>INSTRUÇÃO DE SERVIÇO Nº 140/2019</w:t>
      </w:r>
      <w:r w:rsidR="000F5F1B" w:rsidRPr="000F5F1B">
        <w:rPr>
          <w:rStyle w:val="Refdenotaderodap"/>
          <w:b/>
          <w:bCs/>
          <w:sz w:val="28"/>
          <w:szCs w:val="28"/>
        </w:rPr>
        <w:footnoteReference w:customMarkFollows="1" w:id="1"/>
        <w:sym w:font="Symbol" w:char="F02A"/>
      </w:r>
    </w:p>
    <w:p w:rsidR="00EB084F" w:rsidRDefault="00EB084F" w:rsidP="00EB084F">
      <w:pPr>
        <w:pStyle w:val="Default"/>
        <w:spacing w:before="360" w:after="360"/>
        <w:ind w:left="4536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Dispõe sobre a instrução de processos com pedido de encerramento, em virtude do não atingimento de valor de alçada, nos termos da Resolução nº 60/2017. </w:t>
      </w:r>
    </w:p>
    <w:p w:rsidR="00EB084F" w:rsidRPr="000F5F1B" w:rsidRDefault="00EB084F" w:rsidP="000F5F1B">
      <w:pPr>
        <w:pStyle w:val="Default"/>
        <w:spacing w:before="120"/>
        <w:ind w:firstLine="1134"/>
      </w:pPr>
      <w:r w:rsidRPr="000F5F1B">
        <w:rPr>
          <w:b/>
          <w:bCs/>
        </w:rPr>
        <w:t>O PRESIDENTE DO TRIBUNAL DE CONTAS DO ESTADO DO PARANÁ</w:t>
      </w:r>
      <w:r w:rsidRPr="000F5F1B">
        <w:t xml:space="preserve">, no uso das atribuições contidas no art. 122, I, da Lei Complementar nº 113, de 15 de dezembro de 2005, com base nos </w:t>
      </w:r>
      <w:proofErr w:type="spellStart"/>
      <w:r w:rsidRPr="000F5F1B">
        <w:t>arts</w:t>
      </w:r>
      <w:proofErr w:type="spellEnd"/>
      <w:r w:rsidRPr="000F5F1B">
        <w:t xml:space="preserve">. 16, XXXIII e XXXIV, e 197, do Regimento Interno, e na Resolução nº 60/2017, e considerando o Procedimento Administrativo nº 684720/2019, </w:t>
      </w:r>
    </w:p>
    <w:p w:rsidR="00EB084F" w:rsidRPr="000F5F1B" w:rsidRDefault="00EB084F" w:rsidP="000F5F1B">
      <w:pPr>
        <w:pStyle w:val="Default"/>
        <w:spacing w:before="360" w:after="360"/>
        <w:ind w:firstLine="1134"/>
      </w:pPr>
      <w:r w:rsidRPr="000F5F1B">
        <w:rPr>
          <w:b/>
          <w:bCs/>
        </w:rPr>
        <w:t xml:space="preserve">RESOLVE: </w:t>
      </w:r>
    </w:p>
    <w:p w:rsidR="00EB084F" w:rsidRPr="000F5F1B" w:rsidRDefault="00EB084F" w:rsidP="000F5F1B">
      <w:pPr>
        <w:pStyle w:val="Default"/>
        <w:spacing w:before="120"/>
        <w:ind w:firstLine="1134"/>
      </w:pPr>
      <w:r w:rsidRPr="000F5F1B">
        <w:rPr>
          <w:b/>
          <w:bCs/>
        </w:rPr>
        <w:t xml:space="preserve">Art. 1º </w:t>
      </w:r>
      <w:r w:rsidRPr="000F5F1B">
        <w:t xml:space="preserve">As Coordenadorias de Fiscalização indicarão expressamente a necessidade de remessa do processo à Coordenadoria de Monitoramento e Execuções após o julgamento, quando houver, na instrução, sugestão de encerramento do processo em virtude da aplicação da Resolução nº 60/2017. </w:t>
      </w:r>
    </w:p>
    <w:p w:rsidR="00EB084F" w:rsidRPr="000F5F1B" w:rsidRDefault="00EB084F" w:rsidP="000F5F1B">
      <w:pPr>
        <w:pStyle w:val="Default"/>
        <w:spacing w:before="120"/>
        <w:ind w:firstLine="1134"/>
      </w:pPr>
      <w:r w:rsidRPr="000F5F1B">
        <w:rPr>
          <w:b/>
          <w:bCs/>
        </w:rPr>
        <w:t xml:space="preserve">Art. 2º </w:t>
      </w:r>
      <w:r w:rsidRPr="000F5F1B">
        <w:t xml:space="preserve">A Coordenadoria de Monitoramento e Execuções registrará os dados dos processos que tenham sido encerrados nos termos da Resolução nº 60/2017, a fim de possibilitar o cumprimento do art. 2º, § 1º, da referida normativa. </w:t>
      </w:r>
    </w:p>
    <w:p w:rsidR="00EB084F" w:rsidRPr="000F5F1B" w:rsidRDefault="00EB084F" w:rsidP="000F5F1B">
      <w:pPr>
        <w:pStyle w:val="Default"/>
        <w:spacing w:before="120"/>
        <w:ind w:firstLine="1134"/>
      </w:pPr>
      <w:r w:rsidRPr="000F5F1B">
        <w:rPr>
          <w:b/>
          <w:bCs/>
        </w:rPr>
        <w:t xml:space="preserve">Art. 3º </w:t>
      </w:r>
      <w:r w:rsidRPr="000F5F1B">
        <w:t xml:space="preserve">Esta Instrução de Serviço entra em vigor na data de sua publicação. </w:t>
      </w:r>
    </w:p>
    <w:p w:rsidR="00EB084F" w:rsidRPr="000F5F1B" w:rsidRDefault="00EB084F" w:rsidP="000F5F1B">
      <w:pPr>
        <w:pStyle w:val="Default"/>
        <w:spacing w:before="360"/>
        <w:jc w:val="center"/>
      </w:pPr>
      <w:r w:rsidRPr="000F5F1B">
        <w:t>Curitiba, 1º de novembro de 2019.</w:t>
      </w:r>
    </w:p>
    <w:p w:rsidR="00EB084F" w:rsidRPr="000F5F1B" w:rsidRDefault="00EB084F" w:rsidP="000F5F1B">
      <w:pPr>
        <w:pStyle w:val="Default"/>
        <w:spacing w:before="360"/>
        <w:jc w:val="center"/>
      </w:pPr>
      <w:r w:rsidRPr="000F5F1B">
        <w:t xml:space="preserve">- </w:t>
      </w:r>
      <w:proofErr w:type="gramStart"/>
      <w:r w:rsidRPr="000F5F1B">
        <w:t>assinatura</w:t>
      </w:r>
      <w:proofErr w:type="gramEnd"/>
      <w:r w:rsidRPr="000F5F1B">
        <w:t xml:space="preserve"> digital -</w:t>
      </w:r>
    </w:p>
    <w:p w:rsidR="00EB084F" w:rsidRPr="000F5F1B" w:rsidRDefault="00EB084F" w:rsidP="000F5F1B">
      <w:pPr>
        <w:pStyle w:val="Default"/>
        <w:spacing w:before="120"/>
        <w:jc w:val="center"/>
        <w:rPr>
          <w:b/>
          <w:bCs/>
        </w:rPr>
      </w:pPr>
      <w:r w:rsidRPr="000F5F1B">
        <w:t xml:space="preserve">Conselheiro </w:t>
      </w:r>
      <w:r w:rsidRPr="000F5F1B">
        <w:rPr>
          <w:b/>
          <w:bCs/>
        </w:rPr>
        <w:t>NESTOR BAPTISTA</w:t>
      </w:r>
    </w:p>
    <w:bookmarkEnd w:id="0"/>
    <w:p w:rsidR="000F5F1B" w:rsidRPr="000F5F1B" w:rsidRDefault="000F5F1B" w:rsidP="000F5F1B">
      <w:pPr>
        <w:pStyle w:val="Default"/>
        <w:jc w:val="center"/>
      </w:pPr>
      <w:r w:rsidRPr="000F5F1B">
        <w:t>Presidente</w:t>
      </w:r>
    </w:p>
    <w:sectPr w:rsidR="000F5F1B" w:rsidRPr="000F5F1B" w:rsidSect="00101CCE">
      <w:headerReference w:type="default" r:id="rId8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CB4" w:rsidRDefault="00F00CB4" w:rsidP="00101CCE">
      <w:pPr>
        <w:spacing w:after="0" w:line="240" w:lineRule="auto"/>
      </w:pPr>
      <w:r>
        <w:separator/>
      </w:r>
    </w:p>
  </w:endnote>
  <w:endnote w:type="continuationSeparator" w:id="0">
    <w:p w:rsidR="00F00CB4" w:rsidRDefault="00F00CB4" w:rsidP="0010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CB4" w:rsidRDefault="00F00CB4" w:rsidP="00101CCE">
      <w:pPr>
        <w:spacing w:after="0" w:line="240" w:lineRule="auto"/>
      </w:pPr>
      <w:r>
        <w:separator/>
      </w:r>
    </w:p>
  </w:footnote>
  <w:footnote w:type="continuationSeparator" w:id="0">
    <w:p w:rsidR="00F00CB4" w:rsidRDefault="00F00CB4" w:rsidP="00101CCE">
      <w:pPr>
        <w:spacing w:after="0" w:line="240" w:lineRule="auto"/>
      </w:pPr>
      <w:r>
        <w:continuationSeparator/>
      </w:r>
    </w:p>
  </w:footnote>
  <w:footnote w:id="1">
    <w:p w:rsidR="000F5F1B" w:rsidRPr="00903F9E" w:rsidRDefault="000F5F1B" w:rsidP="000F5F1B">
      <w:pPr>
        <w:pStyle w:val="Textodenotaderodap"/>
        <w:rPr>
          <w:rFonts w:ascii="Arial" w:hAnsi="Arial" w:cs="Arial"/>
        </w:rPr>
      </w:pPr>
      <w:r w:rsidRPr="000F5F1B">
        <w:rPr>
          <w:rStyle w:val="Refdenotaderodap"/>
        </w:rPr>
        <w:sym w:font="Symbol" w:char="F02A"/>
      </w:r>
      <w:r>
        <w:t xml:space="preserve"> </w:t>
      </w:r>
      <w:bookmarkStart w:id="2" w:name="_Hlk37068492"/>
      <w:r w:rsidRPr="00903F9E">
        <w:rPr>
          <w:rFonts w:ascii="Arial" w:hAnsi="Arial" w:cs="Arial"/>
          <w:b/>
        </w:rPr>
        <w:t>Nota da Biblioteca:</w:t>
      </w:r>
    </w:p>
    <w:p w:rsidR="000F5F1B" w:rsidRPr="000F5F1B" w:rsidRDefault="000F5F1B" w:rsidP="000F5F1B">
      <w:pPr>
        <w:pStyle w:val="NormalWeb"/>
        <w:numPr>
          <w:ilvl w:val="0"/>
          <w:numId w:val="1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0F5F1B">
        <w:rPr>
          <w:rFonts w:ascii="Arial" w:hAnsi="Arial" w:cs="Arial"/>
          <w:sz w:val="20"/>
          <w:szCs w:val="20"/>
        </w:rPr>
        <w:t xml:space="preserve">Este texto não substitui o publicado no periódico: </w:t>
      </w:r>
      <w:hyperlink r:id="rId1" w:history="1">
        <w:r w:rsidRPr="000F5F1B"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Diário Eletrônico do Tribunal de Contas do Estado do Paraná, </w:t>
        </w:r>
      </w:hyperlink>
      <w:hyperlink r:id="rId2" w:history="1">
        <w:r w:rsidRPr="000F5F1B">
          <w:rPr>
            <w:rStyle w:val="Hyperlink"/>
            <w:rFonts w:ascii="Arial" w:hAnsi="Arial" w:cs="Arial"/>
            <w:sz w:val="20"/>
            <w:szCs w:val="20"/>
          </w:rPr>
          <w:t>Curitiba, PR, n. 2180, 6 nov. 2019, p. 14.</w:t>
        </w:r>
      </w:hyperlink>
      <w:r w:rsidRPr="000F5F1B">
        <w:rPr>
          <w:rFonts w:ascii="Arial" w:hAnsi="Arial" w:cs="Arial"/>
          <w:sz w:val="20"/>
          <w:szCs w:val="20"/>
        </w:rPr>
        <w:t> </w:t>
      </w:r>
    </w:p>
    <w:p w:rsidR="000F5F1B" w:rsidRPr="000F5F1B" w:rsidRDefault="000F5F1B" w:rsidP="000F5F1B">
      <w:pPr>
        <w:pStyle w:val="NormalWeb"/>
        <w:numPr>
          <w:ilvl w:val="0"/>
          <w:numId w:val="1"/>
        </w:numPr>
        <w:spacing w:before="0" w:beforeAutospacing="0" w:after="0" w:line="240" w:lineRule="auto"/>
        <w:ind w:left="426" w:hanging="284"/>
        <w:textAlignment w:val="top"/>
        <w:rPr>
          <w:rFonts w:ascii="Arial" w:hAnsi="Arial" w:cs="Arial"/>
          <w:sz w:val="20"/>
          <w:szCs w:val="20"/>
        </w:rPr>
      </w:pPr>
      <w:r w:rsidRPr="000F5F1B">
        <w:rPr>
          <w:rStyle w:val="Forte"/>
          <w:rFonts w:ascii="Arial" w:hAnsi="Arial" w:cs="Arial"/>
          <w:sz w:val="20"/>
          <w:szCs w:val="20"/>
        </w:rPr>
        <w:t>Legislação correlata:</w:t>
      </w:r>
      <w:r w:rsidRPr="000F5F1B">
        <w:rPr>
          <w:rFonts w:ascii="Arial" w:hAnsi="Arial" w:cs="Arial"/>
          <w:sz w:val="20"/>
          <w:szCs w:val="20"/>
        </w:rPr>
        <w:t> </w:t>
      </w:r>
      <w:hyperlink r:id="rId3" w:history="1">
        <w:r w:rsidRPr="000F5F1B">
          <w:rPr>
            <w:rStyle w:val="Hyperlink"/>
            <w:rFonts w:ascii="Arial" w:hAnsi="Arial" w:cs="Arial"/>
            <w:sz w:val="20"/>
            <w:szCs w:val="20"/>
          </w:rPr>
          <w:t>Resolução n. 60, de 17 de fevereiro de 2017</w:t>
        </w:r>
      </w:hyperlink>
      <w:r w:rsidRPr="000F5F1B">
        <w:rPr>
          <w:rFonts w:ascii="Arial" w:hAnsi="Arial" w:cs="Arial"/>
          <w:sz w:val="20"/>
          <w:szCs w:val="20"/>
        </w:rPr>
        <w:t>.</w:t>
      </w:r>
    </w:p>
    <w:p w:rsidR="000F5F1B" w:rsidRDefault="000F5F1B" w:rsidP="000F5F1B">
      <w:pPr>
        <w:rPr>
          <w:rFonts w:ascii="Arial" w:hAnsi="Arial" w:cs="Arial"/>
          <w:color w:val="0000FF"/>
          <w:u w:val="single"/>
        </w:rPr>
      </w:pPr>
    </w:p>
    <w:bookmarkEnd w:id="2"/>
    <w:p w:rsidR="000F5F1B" w:rsidRPr="000F5F1B" w:rsidRDefault="000F5F1B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CCE" w:rsidRDefault="00101CCE" w:rsidP="008255EC">
    <w:pPr>
      <w:pStyle w:val="Cabealho"/>
      <w:spacing w:before="360" w:after="0" w:line="240" w:lineRule="auto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Descrição: logo TC colorido - medio" style="position:absolute;left:0;text-align:left;margin-left:2.8pt;margin-top:1pt;width:47.7pt;height:56.1pt;z-index:251657728;visibility:visible">
          <v:imagedata r:id="rId1" o:title="logo TC colorido - medio"/>
          <w10:wrap type="square"/>
        </v:shape>
      </w:pict>
    </w:r>
    <w:r w:rsidRPr="00C404BE">
      <w:rPr>
        <w:rFonts w:ascii="Arial" w:hAnsi="Arial" w:cs="Arial"/>
        <w:b/>
        <w:sz w:val="28"/>
        <w:szCs w:val="28"/>
      </w:rPr>
      <w:t>TRIBUNAL DE CONTAS DO ESTADO DO PARANÁ</w:t>
    </w:r>
  </w:p>
  <w:p w:rsidR="00EB084F" w:rsidRPr="00C404BE" w:rsidRDefault="00EB084F" w:rsidP="008255EC">
    <w:pPr>
      <w:pStyle w:val="Cabealho"/>
      <w:spacing w:before="360" w:after="0" w:line="240" w:lineRule="auto"/>
      <w:ind w:left="1134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E6314"/>
    <w:multiLevelType w:val="hybridMultilevel"/>
    <w:tmpl w:val="89E483E6"/>
    <w:lvl w:ilvl="0" w:tplc="5B88C2C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1CCE"/>
    <w:rsid w:val="000B0D14"/>
    <w:rsid w:val="000F5F1B"/>
    <w:rsid w:val="00101CCE"/>
    <w:rsid w:val="00125E1F"/>
    <w:rsid w:val="001623D0"/>
    <w:rsid w:val="001907D7"/>
    <w:rsid w:val="002311FB"/>
    <w:rsid w:val="00345022"/>
    <w:rsid w:val="003B76DE"/>
    <w:rsid w:val="00405628"/>
    <w:rsid w:val="00417130"/>
    <w:rsid w:val="00483602"/>
    <w:rsid w:val="00503501"/>
    <w:rsid w:val="00596489"/>
    <w:rsid w:val="00672D7E"/>
    <w:rsid w:val="006E03B8"/>
    <w:rsid w:val="00813328"/>
    <w:rsid w:val="008255EC"/>
    <w:rsid w:val="009A715A"/>
    <w:rsid w:val="00AB7EE4"/>
    <w:rsid w:val="00AE018A"/>
    <w:rsid w:val="00BB0056"/>
    <w:rsid w:val="00D6313F"/>
    <w:rsid w:val="00D974AE"/>
    <w:rsid w:val="00E756EB"/>
    <w:rsid w:val="00EB084F"/>
    <w:rsid w:val="00F00CB4"/>
    <w:rsid w:val="00F8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33EF59AD"/>
  <w15:chartTrackingRefBased/>
  <w15:docId w15:val="{709769CD-A56E-41AD-9C5D-66F300B4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01C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rsid w:val="00101CCE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101CC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rsid w:val="00101CCE"/>
    <w:rPr>
      <w:rFonts w:ascii="Times New Roman" w:eastAsia="Times New Roman" w:hAnsi="Times New Roman"/>
    </w:rPr>
  </w:style>
  <w:style w:type="character" w:styleId="Refdenotaderodap">
    <w:name w:val="footnote reference"/>
    <w:rsid w:val="00101CCE"/>
    <w:rPr>
      <w:vertAlign w:val="superscript"/>
    </w:rPr>
  </w:style>
  <w:style w:type="paragraph" w:styleId="Cabealho">
    <w:name w:val="header"/>
    <w:basedOn w:val="Normal"/>
    <w:link w:val="CabealhoChar"/>
    <w:unhideWhenUsed/>
    <w:rsid w:val="00101C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01CC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01CC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1CCE"/>
    <w:rPr>
      <w:sz w:val="22"/>
      <w:szCs w:val="22"/>
      <w:lang w:eastAsia="en-US"/>
    </w:rPr>
  </w:style>
  <w:style w:type="paragraph" w:customStyle="1" w:styleId="Default">
    <w:name w:val="Default"/>
    <w:rsid w:val="00EB08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0F5F1B"/>
    <w:rPr>
      <w:color w:val="0000FF"/>
      <w:u w:val="single"/>
    </w:rPr>
  </w:style>
  <w:style w:type="character" w:styleId="Forte">
    <w:name w:val="Strong"/>
    <w:uiPriority w:val="22"/>
    <w:qFormat/>
    <w:rsid w:val="000F5F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5F1B"/>
    <w:pPr>
      <w:spacing w:before="100" w:beforeAutospacing="1" w:after="180" w:line="300" w:lineRule="atLeast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5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2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2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1.tce.pr.gov.br/conteudo/resolucao-n-60-de-17-de-fevereiro-de-2017/298351/area/249" TargetMode="External"/><Relationship Id="rId2" Type="http://schemas.openxmlformats.org/officeDocument/2006/relationships/hyperlink" Target="http://www1.tce.pr.gov.br/conteudo/diario-eletronico-2180-2019-de-06-11-2019/325569/area/10" TargetMode="External"/><Relationship Id="rId1" Type="http://schemas.openxmlformats.org/officeDocument/2006/relationships/hyperlink" Target="http://www1.tce.pr.gov.br/conteudo/diario-eletronico-2180-2019-de-06-11-2019/325569/area/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E75D6-AF29-4D25-8F57-B9E384C3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Yarusya Rohrich da Fonseca</cp:lastModifiedBy>
  <cp:revision>4</cp:revision>
  <dcterms:created xsi:type="dcterms:W3CDTF">2020-04-06T15:41:00Z</dcterms:created>
  <dcterms:modified xsi:type="dcterms:W3CDTF">2020-04-06T15:52:00Z</dcterms:modified>
</cp:coreProperties>
</file>