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8A0FDC" w:rsidP="00816942">
      <w:pPr>
        <w:pStyle w:val="Cabealho"/>
        <w:spacing w:line="276" w:lineRule="auto"/>
        <w:jc w:val="center"/>
        <w:rPr>
          <w:rFonts w:ascii="Arial" w:hAnsi="Arial" w:cs="Arial"/>
          <w:sz w:val="20"/>
          <w:szCs w:val="20"/>
        </w:rPr>
      </w:pPr>
      <w:r>
        <w:rPr>
          <w:rFonts w:ascii="Arial" w:hAnsi="Arial" w:cs="Arial"/>
          <w:b/>
          <w:sz w:val="20"/>
          <w:szCs w:val="20"/>
        </w:rPr>
        <w:t>TESES AMBIENTAIS</w:t>
      </w:r>
      <w:r w:rsidR="0038012F" w:rsidRPr="0022060B">
        <w:rPr>
          <w:rFonts w:ascii="Arial" w:hAnsi="Arial" w:cs="Arial"/>
          <w:sz w:val="20"/>
          <w:szCs w:val="20"/>
        </w:rPr>
        <w:t xml:space="preserve"> </w:t>
      </w:r>
    </w:p>
    <w:p w:rsidR="00526AAA" w:rsidRDefault="00526AAA" w:rsidP="00816942">
      <w:pPr>
        <w:spacing w:after="0"/>
        <w:jc w:val="center"/>
        <w:rPr>
          <w:rFonts w:ascii="Arial" w:hAnsi="Arial" w:cs="Arial"/>
          <w:b/>
          <w:sz w:val="20"/>
          <w:szCs w:val="20"/>
        </w:rPr>
      </w:pPr>
    </w:p>
    <w:p w:rsidR="008A0FDC"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0D560C">
        <w:rPr>
          <w:rFonts w:ascii="Arial" w:hAnsi="Arial" w:cs="Arial"/>
          <w:b/>
          <w:sz w:val="20"/>
          <w:szCs w:val="20"/>
        </w:rPr>
        <w:t>01</w:t>
      </w:r>
      <w:r w:rsidR="006009F5">
        <w:rPr>
          <w:rFonts w:ascii="Arial" w:hAnsi="Arial" w:cs="Arial"/>
          <w:b/>
          <w:sz w:val="20"/>
          <w:szCs w:val="20"/>
        </w:rPr>
        <w:t xml:space="preserve"> </w:t>
      </w:r>
    </w:p>
    <w:p w:rsidR="002E5674" w:rsidRDefault="002E5674" w:rsidP="00816942">
      <w:pPr>
        <w:spacing w:after="0"/>
        <w:jc w:val="center"/>
        <w:rPr>
          <w:rFonts w:ascii="Arial" w:hAnsi="Arial" w:cs="Arial"/>
          <w:b/>
          <w:sz w:val="20"/>
          <w:szCs w:val="20"/>
        </w:rPr>
      </w:pPr>
    </w:p>
    <w:p w:rsidR="00F5755A" w:rsidRPr="00FE71A7" w:rsidRDefault="00FE7B14" w:rsidP="00816942">
      <w:pPr>
        <w:spacing w:after="0"/>
        <w:jc w:val="both"/>
        <w:rPr>
          <w:rFonts w:ascii="Arial" w:hAnsi="Arial" w:cs="Arial"/>
          <w:sz w:val="20"/>
          <w:szCs w:val="20"/>
        </w:rPr>
      </w:pPr>
      <w:r w:rsidRPr="00FE71A7">
        <w:rPr>
          <w:rFonts w:ascii="Arial" w:hAnsi="Arial" w:cs="Arial"/>
          <w:sz w:val="20"/>
          <w:szCs w:val="20"/>
        </w:rPr>
        <w:t>Este Boletim</w:t>
      </w:r>
      <w:r w:rsidR="00F3064F">
        <w:rPr>
          <w:rFonts w:ascii="Arial" w:hAnsi="Arial" w:cs="Arial"/>
          <w:sz w:val="20"/>
          <w:szCs w:val="20"/>
        </w:rPr>
        <w:t xml:space="preserve"> de periodicidade bimestral</w:t>
      </w:r>
      <w:r w:rsidRPr="00FE71A7">
        <w:rPr>
          <w:rFonts w:ascii="Arial" w:hAnsi="Arial" w:cs="Arial"/>
          <w:sz w:val="20"/>
          <w:szCs w:val="20"/>
        </w:rPr>
        <w:t xml:space="preserve"> contém </w:t>
      </w:r>
      <w:r w:rsidR="00D01404" w:rsidRPr="00FE71A7">
        <w:rPr>
          <w:rFonts w:ascii="Arial" w:hAnsi="Arial" w:cs="Arial"/>
          <w:sz w:val="20"/>
          <w:szCs w:val="20"/>
        </w:rPr>
        <w:t>informações sintéticas d</w:t>
      </w:r>
      <w:r w:rsidR="008C0DB6" w:rsidRPr="00FE71A7">
        <w:rPr>
          <w:rFonts w:ascii="Arial" w:hAnsi="Arial" w:cs="Arial"/>
          <w:sz w:val="20"/>
          <w:szCs w:val="20"/>
        </w:rPr>
        <w:t xml:space="preserve">as teses fixadas em Direito Ambiental proferidas pelo Supremo Tribunal Federal - STF, Superior Tribunal de Justiça - STJ, Tribunal de Contas da União </w:t>
      </w:r>
      <w:r w:rsidR="005A3F58" w:rsidRPr="00FE71A7">
        <w:rPr>
          <w:rFonts w:ascii="Arial" w:hAnsi="Arial" w:cs="Arial"/>
          <w:sz w:val="20"/>
          <w:szCs w:val="20"/>
        </w:rPr>
        <w:t>-</w:t>
      </w:r>
      <w:r w:rsidR="008C0DB6" w:rsidRPr="00FE71A7">
        <w:rPr>
          <w:rFonts w:ascii="Arial" w:hAnsi="Arial" w:cs="Arial"/>
          <w:sz w:val="20"/>
          <w:szCs w:val="20"/>
        </w:rPr>
        <w:t xml:space="preserve"> TCU</w:t>
      </w:r>
      <w:r w:rsidR="005A3F58" w:rsidRPr="00FE71A7">
        <w:rPr>
          <w:rFonts w:ascii="Arial" w:hAnsi="Arial" w:cs="Arial"/>
          <w:sz w:val="20"/>
          <w:szCs w:val="20"/>
        </w:rPr>
        <w:t xml:space="preserve"> e do Tribunal de Contas do Paraná - TCE/PR</w:t>
      </w:r>
      <w:r w:rsidR="008F7EA6">
        <w:rPr>
          <w:rFonts w:ascii="Arial" w:hAnsi="Arial" w:cs="Arial"/>
          <w:sz w:val="20"/>
          <w:szCs w:val="20"/>
        </w:rPr>
        <w:t>, bem como de outros Tribunais de Contas Estaduais</w:t>
      </w:r>
      <w:r w:rsidR="00082784">
        <w:rPr>
          <w:rFonts w:ascii="Arial" w:hAnsi="Arial" w:cs="Arial"/>
          <w:sz w:val="20"/>
          <w:szCs w:val="20"/>
        </w:rPr>
        <w:t>/</w:t>
      </w:r>
      <w:r w:rsidR="008F7EA6">
        <w:rPr>
          <w:rFonts w:ascii="Arial" w:hAnsi="Arial" w:cs="Arial"/>
          <w:sz w:val="20"/>
          <w:szCs w:val="20"/>
        </w:rPr>
        <w:t>Municipais</w:t>
      </w:r>
      <w:r w:rsidR="00082784">
        <w:rPr>
          <w:rFonts w:ascii="Arial" w:hAnsi="Arial" w:cs="Arial"/>
          <w:sz w:val="20"/>
          <w:szCs w:val="20"/>
        </w:rPr>
        <w:t>,</w:t>
      </w:r>
      <w:r w:rsidR="008F7EA6">
        <w:rPr>
          <w:rFonts w:ascii="Arial" w:hAnsi="Arial" w:cs="Arial"/>
          <w:sz w:val="20"/>
          <w:szCs w:val="20"/>
        </w:rPr>
        <w:t xml:space="preserve"> </w:t>
      </w:r>
      <w:r w:rsidR="00D01404" w:rsidRPr="00FE71A7">
        <w:rPr>
          <w:rFonts w:ascii="Arial" w:hAnsi="Arial" w:cs="Arial"/>
          <w:sz w:val="20"/>
          <w:szCs w:val="20"/>
        </w:rPr>
        <w:t xml:space="preserve">sobre temas relacionados ao controle externo evidenciando sobretudo </w:t>
      </w:r>
      <w:r w:rsidR="005A3F58" w:rsidRPr="00FE71A7">
        <w:rPr>
          <w:rFonts w:ascii="Arial" w:hAnsi="Arial" w:cs="Arial"/>
          <w:sz w:val="20"/>
          <w:szCs w:val="20"/>
        </w:rPr>
        <w:t>o vetor axiológico da sustentabilidade</w:t>
      </w:r>
      <w:r w:rsidR="00F5755A" w:rsidRPr="00FE71A7">
        <w:rPr>
          <w:rFonts w:ascii="Arial" w:hAnsi="Arial" w:cs="Arial"/>
          <w:sz w:val="20"/>
          <w:szCs w:val="20"/>
        </w:rPr>
        <w:t>.</w:t>
      </w:r>
    </w:p>
    <w:p w:rsidR="00D01404" w:rsidRPr="00FE71A7" w:rsidRDefault="00D44BE9" w:rsidP="00816942">
      <w:pPr>
        <w:spacing w:after="0"/>
        <w:jc w:val="both"/>
        <w:rPr>
          <w:rFonts w:ascii="Arial" w:hAnsi="Arial" w:cs="Arial"/>
          <w:sz w:val="20"/>
          <w:szCs w:val="20"/>
        </w:rPr>
      </w:pPr>
      <w:r w:rsidRPr="00FE71A7">
        <w:rPr>
          <w:rFonts w:ascii="Arial" w:hAnsi="Arial" w:cs="Arial"/>
          <w:sz w:val="20"/>
          <w:szCs w:val="20"/>
        </w:rPr>
        <w:t xml:space="preserve"> </w:t>
      </w:r>
    </w:p>
    <w:p w:rsidR="00E95A8E" w:rsidRPr="00FE71A7" w:rsidRDefault="007D6A5B" w:rsidP="00AE798E">
      <w:pPr>
        <w:jc w:val="both"/>
        <w:rPr>
          <w:rFonts w:ascii="Arial" w:hAnsi="Arial" w:cs="Arial"/>
          <w:sz w:val="20"/>
          <w:szCs w:val="20"/>
        </w:rPr>
      </w:pPr>
      <w:r w:rsidRPr="00FE71A7">
        <w:rPr>
          <w:rFonts w:ascii="Arial" w:hAnsi="Arial" w:cs="Arial"/>
          <w:sz w:val="20"/>
          <w:szCs w:val="20"/>
        </w:rPr>
        <w:t>A seleção das decisões leva em consideração os aspectos</w:t>
      </w:r>
      <w:r w:rsidR="007E786E" w:rsidRPr="00FE71A7">
        <w:rPr>
          <w:rFonts w:ascii="Arial" w:hAnsi="Arial" w:cs="Arial"/>
          <w:sz w:val="20"/>
          <w:szCs w:val="20"/>
        </w:rPr>
        <w:t xml:space="preserve"> de</w:t>
      </w:r>
      <w:r w:rsidR="00F5755A" w:rsidRPr="00FE71A7">
        <w:rPr>
          <w:rFonts w:ascii="Arial" w:hAnsi="Arial" w:cs="Arial"/>
          <w:sz w:val="20"/>
          <w:szCs w:val="20"/>
        </w:rPr>
        <w:t xml:space="preserve"> gestão ambiental eficiente, transparente e </w:t>
      </w:r>
      <w:r w:rsidR="00FE71A7" w:rsidRPr="00FE71A7">
        <w:rPr>
          <w:rFonts w:ascii="Arial" w:hAnsi="Arial" w:cs="Arial"/>
          <w:sz w:val="20"/>
          <w:szCs w:val="20"/>
        </w:rPr>
        <w:t xml:space="preserve">propositiva. </w:t>
      </w:r>
      <w:r w:rsidR="00AE798E" w:rsidRPr="00FE71A7">
        <w:rPr>
          <w:rFonts w:ascii="Arial" w:hAnsi="Arial" w:cs="Arial"/>
          <w:sz w:val="20"/>
          <w:szCs w:val="20"/>
        </w:rPr>
        <w:t xml:space="preserve"> </w:t>
      </w:r>
    </w:p>
    <w:p w:rsidR="00FE71A7" w:rsidRPr="00FE71A7" w:rsidRDefault="00FE7B14" w:rsidP="00FE71A7">
      <w:pPr>
        <w:spacing w:after="0"/>
        <w:jc w:val="both"/>
        <w:rPr>
          <w:rFonts w:ascii="Arial" w:hAnsi="Arial" w:cs="Arial"/>
          <w:sz w:val="20"/>
          <w:szCs w:val="20"/>
        </w:rPr>
      </w:pPr>
      <w:r w:rsidRPr="00FE71A7">
        <w:rPr>
          <w:rFonts w:ascii="Arial" w:hAnsi="Arial" w:cs="Arial"/>
          <w:sz w:val="20"/>
          <w:szCs w:val="20"/>
        </w:rPr>
        <w:t xml:space="preserve">O objetivo é </w:t>
      </w:r>
      <w:r w:rsidR="002D7F7B">
        <w:rPr>
          <w:rFonts w:ascii="Arial" w:hAnsi="Arial" w:cs="Arial"/>
          <w:sz w:val="20"/>
          <w:szCs w:val="20"/>
        </w:rPr>
        <w:t xml:space="preserve">divulgar </w:t>
      </w:r>
      <w:r w:rsidR="00FE71A7" w:rsidRPr="00FE71A7">
        <w:rPr>
          <w:rFonts w:ascii="Arial" w:hAnsi="Arial" w:cs="Arial"/>
          <w:sz w:val="20"/>
          <w:szCs w:val="20"/>
        </w:rPr>
        <w:t>os grandes temas e institutos</w:t>
      </w:r>
      <w:r w:rsidR="00FE71A7">
        <w:rPr>
          <w:rFonts w:ascii="Arial" w:hAnsi="Arial" w:cs="Arial"/>
          <w:sz w:val="20"/>
          <w:szCs w:val="20"/>
        </w:rPr>
        <w:t xml:space="preserve"> da legislação ambiental </w:t>
      </w:r>
      <w:r w:rsidR="00FE71A7" w:rsidRPr="00FE71A7">
        <w:rPr>
          <w:rFonts w:ascii="Arial" w:hAnsi="Arial" w:cs="Arial"/>
          <w:sz w:val="20"/>
          <w:szCs w:val="20"/>
        </w:rPr>
        <w:t xml:space="preserve">para cumprir o </w:t>
      </w:r>
      <w:r w:rsidR="00FE71A7" w:rsidRPr="00FE71A7">
        <w:rPr>
          <w:rFonts w:ascii="Arial" w:hAnsi="Arial" w:cs="Arial"/>
          <w:i/>
          <w:sz w:val="20"/>
          <w:szCs w:val="20"/>
        </w:rPr>
        <w:t>eixo verde</w:t>
      </w:r>
      <w:r w:rsidR="00FE71A7" w:rsidRPr="00FE71A7">
        <w:rPr>
          <w:rFonts w:ascii="Arial" w:hAnsi="Arial" w:cs="Arial"/>
          <w:sz w:val="20"/>
          <w:szCs w:val="20"/>
        </w:rPr>
        <w:t xml:space="preserve"> do texto constitucional de 1988, </w:t>
      </w:r>
      <w:r w:rsidR="00FE71A7">
        <w:rPr>
          <w:rFonts w:ascii="Arial" w:hAnsi="Arial" w:cs="Arial"/>
          <w:sz w:val="20"/>
          <w:szCs w:val="20"/>
        </w:rPr>
        <w:t xml:space="preserve">que </w:t>
      </w:r>
      <w:r w:rsidR="00FE71A7" w:rsidRPr="00FE71A7">
        <w:rPr>
          <w:rFonts w:ascii="Arial" w:hAnsi="Arial" w:cs="Arial"/>
          <w:sz w:val="20"/>
          <w:szCs w:val="20"/>
        </w:rPr>
        <w:t xml:space="preserve">dispõe </w:t>
      </w:r>
      <w:r w:rsidR="00FE71A7">
        <w:rPr>
          <w:rFonts w:ascii="Arial" w:hAnsi="Arial" w:cs="Arial"/>
          <w:sz w:val="20"/>
          <w:szCs w:val="20"/>
        </w:rPr>
        <w:t xml:space="preserve">em seu </w:t>
      </w:r>
      <w:r w:rsidR="00FE71A7" w:rsidRPr="00FE71A7">
        <w:rPr>
          <w:rFonts w:ascii="Arial" w:hAnsi="Arial" w:cs="Arial"/>
          <w:sz w:val="20"/>
          <w:szCs w:val="20"/>
        </w:rPr>
        <w:t xml:space="preserve">art. 225, que </w:t>
      </w:r>
      <w:r w:rsidR="00FE71A7" w:rsidRPr="009C4E6C">
        <w:rPr>
          <w:rFonts w:ascii="Arial" w:hAnsi="Arial" w:cs="Arial"/>
          <w:i/>
          <w:sz w:val="20"/>
          <w:szCs w:val="20"/>
        </w:rPr>
        <w:t>“t</w:t>
      </w:r>
      <w:r w:rsidR="00FE71A7" w:rsidRPr="009C4E6C">
        <w:rPr>
          <w:rFonts w:ascii="Arial" w:hAnsi="Arial" w:cs="Arial"/>
          <w:i/>
          <w:color w:val="000000"/>
          <w:sz w:val="20"/>
          <w:szCs w:val="20"/>
          <w:shd w:val="clear" w:color="auto" w:fill="FFFFFF"/>
        </w:rPr>
        <w:t>odos têm direito ao meio ambiente ecologicamente equilibrado, bem de uso comum do povo e essencial à sadia qualidade de vida, impondo-se ao poder público e à coletividade o dever de defendê-lo e preservá-lo para as presentes e futuras gerações”</w:t>
      </w:r>
      <w:r w:rsidR="00FE71A7" w:rsidRPr="00FE71A7">
        <w:rPr>
          <w:rFonts w:ascii="Arial" w:hAnsi="Arial" w:cs="Arial"/>
          <w:color w:val="000000"/>
          <w:sz w:val="20"/>
          <w:szCs w:val="20"/>
          <w:shd w:val="clear" w:color="auto" w:fill="FFFFFF"/>
        </w:rPr>
        <w:t xml:space="preserve">, </w:t>
      </w:r>
      <w:r w:rsidR="00FE71A7">
        <w:rPr>
          <w:rFonts w:ascii="Arial" w:hAnsi="Arial" w:cs="Arial"/>
          <w:color w:val="000000"/>
          <w:sz w:val="20"/>
          <w:szCs w:val="20"/>
          <w:shd w:val="clear" w:color="auto" w:fill="FFFFFF"/>
        </w:rPr>
        <w:t xml:space="preserve">de modo a promover </w:t>
      </w:r>
      <w:r w:rsidR="00FE71A7" w:rsidRPr="00FE71A7">
        <w:rPr>
          <w:rFonts w:ascii="Arial" w:hAnsi="Arial" w:cs="Arial"/>
          <w:color w:val="000000"/>
          <w:sz w:val="20"/>
          <w:szCs w:val="20"/>
          <w:shd w:val="clear" w:color="auto" w:fill="FFFFFF"/>
        </w:rPr>
        <w:t>a conscientização pública para a preservação do meio ambiente</w:t>
      </w:r>
      <w:r w:rsidR="00FE71A7">
        <w:rPr>
          <w:rFonts w:ascii="Arial" w:hAnsi="Arial" w:cs="Arial"/>
          <w:color w:val="000000"/>
          <w:sz w:val="20"/>
          <w:szCs w:val="20"/>
          <w:shd w:val="clear" w:color="auto" w:fill="FFFFFF"/>
        </w:rPr>
        <w:t>.</w:t>
      </w:r>
    </w:p>
    <w:p w:rsidR="00FE71A7" w:rsidRPr="00FE71A7" w:rsidRDefault="00FE71A7" w:rsidP="00816942">
      <w:pPr>
        <w:spacing w:after="0"/>
        <w:jc w:val="both"/>
        <w:rPr>
          <w:rFonts w:ascii="Arial" w:hAnsi="Arial" w:cs="Arial"/>
          <w:sz w:val="20"/>
          <w:szCs w:val="20"/>
        </w:rPr>
      </w:pPr>
    </w:p>
    <w:p w:rsidR="00FE7B14" w:rsidRDefault="00FE7B14" w:rsidP="00816942">
      <w:pPr>
        <w:spacing w:after="0"/>
        <w:jc w:val="both"/>
        <w:rPr>
          <w:rFonts w:ascii="Arial" w:hAnsi="Arial" w:cs="Arial"/>
          <w:sz w:val="20"/>
          <w:szCs w:val="20"/>
        </w:rPr>
      </w:pPr>
      <w:r w:rsidRPr="0022060B">
        <w:rPr>
          <w:rFonts w:ascii="Arial" w:hAnsi="Arial" w:cs="Arial"/>
          <w:sz w:val="20"/>
          <w:szCs w:val="20"/>
        </w:rPr>
        <w:t>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702627" w:rsidRPr="00936C85" w:rsidRDefault="00702627" w:rsidP="00E25E66">
      <w:pPr>
        <w:autoSpaceDE w:val="0"/>
        <w:autoSpaceDN w:val="0"/>
        <w:adjustRightInd w:val="0"/>
        <w:spacing w:after="0"/>
        <w:jc w:val="both"/>
        <w:rPr>
          <w:rFonts w:ascii="Arial" w:hAnsi="Arial" w:cs="Arial"/>
          <w:iCs/>
          <w:sz w:val="20"/>
          <w:szCs w:val="20"/>
        </w:rPr>
      </w:pPr>
      <w:r w:rsidRPr="00936C85">
        <w:rPr>
          <w:rFonts w:ascii="Arial" w:hAnsi="Arial" w:cs="Arial"/>
          <w:iCs/>
          <w:sz w:val="20"/>
          <w:szCs w:val="20"/>
        </w:rPr>
        <w:t>1. Comunicação de Irregularidade. Parecer técnico conclusivo. Licenciamento ambiental. Atividade técnica. Servidor efetivo e legalmente habilitado. Decisão Administrativa em procedimento de licenciamento ambiental. Segregação das funções. Ratificação de Cautelar.</w:t>
      </w:r>
    </w:p>
    <w:p w:rsidR="00D111F1" w:rsidRDefault="00D111F1" w:rsidP="00E25E66">
      <w:pPr>
        <w:spacing w:after="0"/>
        <w:jc w:val="both"/>
        <w:rPr>
          <w:rFonts w:ascii="Arial" w:hAnsi="Arial" w:cs="Arial"/>
          <w:sz w:val="20"/>
          <w:szCs w:val="20"/>
        </w:rPr>
      </w:pPr>
    </w:p>
    <w:p w:rsidR="00936C85" w:rsidRPr="00936C85" w:rsidRDefault="00936C85" w:rsidP="00E25E66">
      <w:pPr>
        <w:spacing w:after="0"/>
        <w:jc w:val="both"/>
        <w:rPr>
          <w:rFonts w:ascii="Arial" w:hAnsi="Arial" w:cs="Arial"/>
          <w:sz w:val="20"/>
          <w:szCs w:val="20"/>
        </w:rPr>
      </w:pPr>
      <w:r w:rsidRPr="00936C85">
        <w:rPr>
          <w:rFonts w:ascii="Arial" w:hAnsi="Arial" w:cs="Arial"/>
          <w:sz w:val="20"/>
          <w:szCs w:val="20"/>
        </w:rPr>
        <w:t xml:space="preserve">2. Responsabilidade. Licitação. Comissão de licitação. Estudo de impacto ambiental. </w:t>
      </w:r>
    </w:p>
    <w:p w:rsidR="00D111F1" w:rsidRDefault="00D111F1" w:rsidP="00E25E66">
      <w:pPr>
        <w:spacing w:after="0"/>
        <w:jc w:val="both"/>
        <w:rPr>
          <w:rFonts w:ascii="Arial" w:hAnsi="Arial" w:cs="Arial"/>
          <w:sz w:val="20"/>
          <w:szCs w:val="20"/>
          <w:shd w:val="clear" w:color="auto" w:fill="FFFFFF"/>
        </w:rPr>
      </w:pPr>
    </w:p>
    <w:p w:rsidR="00936C85" w:rsidRDefault="00936C85" w:rsidP="00E25E66">
      <w:pPr>
        <w:spacing w:after="0"/>
        <w:jc w:val="both"/>
        <w:rPr>
          <w:rFonts w:ascii="Arial" w:hAnsi="Arial" w:cs="Arial"/>
          <w:sz w:val="20"/>
          <w:szCs w:val="20"/>
          <w:shd w:val="clear" w:color="auto" w:fill="FFFFFF"/>
        </w:rPr>
      </w:pPr>
      <w:r w:rsidRPr="00936C85">
        <w:rPr>
          <w:rFonts w:ascii="Arial" w:hAnsi="Arial" w:cs="Arial"/>
          <w:sz w:val="20"/>
          <w:szCs w:val="20"/>
          <w:shd w:val="clear" w:color="auto" w:fill="FFFFFF"/>
        </w:rPr>
        <w:t>3. Responsabilidade. Licitação. Homologação. Ausência. Estudo de impacto ambiental. Licença ambiental.</w:t>
      </w:r>
    </w:p>
    <w:p w:rsidR="00D111F1" w:rsidRDefault="00D111F1" w:rsidP="00E25E66">
      <w:pPr>
        <w:spacing w:after="0"/>
        <w:jc w:val="both"/>
        <w:rPr>
          <w:rFonts w:ascii="Arial" w:hAnsi="Arial" w:cs="Arial"/>
          <w:sz w:val="20"/>
          <w:szCs w:val="20"/>
        </w:rPr>
      </w:pPr>
    </w:p>
    <w:p w:rsidR="00831891" w:rsidRDefault="00831891" w:rsidP="00E25E66">
      <w:pPr>
        <w:spacing w:after="0"/>
        <w:jc w:val="both"/>
        <w:rPr>
          <w:rFonts w:ascii="Arial" w:hAnsi="Arial" w:cs="Arial"/>
          <w:sz w:val="20"/>
          <w:szCs w:val="20"/>
        </w:rPr>
      </w:pPr>
      <w:r w:rsidRPr="00831891">
        <w:rPr>
          <w:rFonts w:ascii="Arial" w:hAnsi="Arial" w:cs="Arial"/>
          <w:sz w:val="20"/>
          <w:szCs w:val="20"/>
        </w:rPr>
        <w:t>4. Auditoria Operacional e Ambiental em Unidades de Conservação Estaduais (</w:t>
      </w:r>
      <w:proofErr w:type="spellStart"/>
      <w:r w:rsidRPr="00831891">
        <w:rPr>
          <w:rFonts w:ascii="Arial" w:hAnsi="Arial" w:cs="Arial"/>
          <w:sz w:val="20"/>
          <w:szCs w:val="20"/>
        </w:rPr>
        <w:t>UCEs</w:t>
      </w:r>
      <w:proofErr w:type="spellEnd"/>
      <w:r w:rsidRPr="00831891">
        <w:rPr>
          <w:rFonts w:ascii="Arial" w:hAnsi="Arial" w:cs="Arial"/>
          <w:sz w:val="20"/>
          <w:szCs w:val="20"/>
        </w:rPr>
        <w:t>) do Amazonas.</w:t>
      </w:r>
    </w:p>
    <w:p w:rsidR="007100B5" w:rsidRDefault="007100B5" w:rsidP="00E25E66">
      <w:pPr>
        <w:spacing w:after="0"/>
        <w:jc w:val="both"/>
        <w:rPr>
          <w:rFonts w:ascii="Arial" w:hAnsi="Arial" w:cs="Arial"/>
          <w:sz w:val="20"/>
          <w:szCs w:val="20"/>
        </w:rPr>
      </w:pPr>
    </w:p>
    <w:p w:rsidR="007100B5" w:rsidRDefault="007100B5" w:rsidP="00E25E66">
      <w:pPr>
        <w:spacing w:after="0"/>
        <w:jc w:val="both"/>
        <w:rPr>
          <w:rStyle w:val="Hyperlink"/>
          <w:rFonts w:ascii="Arial" w:hAnsi="Arial" w:cs="Arial"/>
          <w:color w:val="000000" w:themeColor="text1"/>
          <w:sz w:val="20"/>
          <w:szCs w:val="20"/>
          <w:u w:val="none"/>
        </w:rPr>
      </w:pPr>
      <w:r w:rsidRPr="007100B5">
        <w:rPr>
          <w:rStyle w:val="Hyperlink"/>
          <w:rFonts w:ascii="Arial" w:hAnsi="Arial" w:cs="Arial"/>
          <w:color w:val="000000" w:themeColor="text1"/>
          <w:sz w:val="20"/>
          <w:szCs w:val="20"/>
          <w:u w:val="none"/>
        </w:rPr>
        <w:t>5. Conclusão do julgamento conjunto de ações diretas de inconstitucionalidade e de ação declaratória de constitucionalidade em que se discute diversos dispositivos do Código Florestal (Lei n° 12.651/2012).</w:t>
      </w:r>
    </w:p>
    <w:p w:rsidR="007100B5" w:rsidRPr="007100B5" w:rsidRDefault="007100B5" w:rsidP="00E25E66">
      <w:pPr>
        <w:spacing w:after="0"/>
        <w:jc w:val="both"/>
        <w:rPr>
          <w:rStyle w:val="Hyperlink"/>
          <w:rFonts w:ascii="Arial" w:hAnsi="Arial" w:cs="Arial"/>
          <w:color w:val="auto"/>
          <w:sz w:val="20"/>
          <w:szCs w:val="20"/>
          <w:u w:val="none"/>
        </w:rPr>
      </w:pPr>
      <w:r w:rsidRPr="007100B5">
        <w:rPr>
          <w:rStyle w:val="Hyperlink"/>
          <w:rFonts w:ascii="Arial" w:hAnsi="Arial" w:cs="Arial"/>
          <w:color w:val="auto"/>
          <w:sz w:val="20"/>
          <w:szCs w:val="20"/>
          <w:u w:val="none"/>
        </w:rPr>
        <w:lastRenderedPageBreak/>
        <w:t>6. Administrativo. Agravo Interno no Recurso Especial. Ambiental. Ação Civil Pública. Dano Ambiental e Urbanístico. Construções irregulares. Dever de fiscalização. Omissão. Responsabilidade Civil do Estado. Caráter solidário, mas de execução subsidiária. Precedentes.</w:t>
      </w:r>
    </w:p>
    <w:p w:rsidR="000F6BD6" w:rsidRDefault="000F6BD6" w:rsidP="00816942">
      <w:pPr>
        <w:spacing w:after="0"/>
        <w:jc w:val="both"/>
        <w:rPr>
          <w:rStyle w:val="Hyperlink"/>
          <w:rFonts w:ascii="Arial" w:hAnsi="Arial" w:cs="Arial"/>
          <w:b/>
          <w:color w:val="000000" w:themeColor="text1"/>
          <w:sz w:val="20"/>
          <w:szCs w:val="20"/>
          <w:u w:val="none"/>
        </w:rPr>
      </w:pPr>
    </w:p>
    <w:p w:rsidR="006C7110" w:rsidRPr="0022060B" w:rsidRDefault="006C7110" w:rsidP="006C7110">
      <w:pPr>
        <w:shd w:val="pct10" w:color="auto" w:fill="auto"/>
        <w:spacing w:after="0"/>
        <w:jc w:val="center"/>
        <w:rPr>
          <w:rFonts w:ascii="Arial" w:hAnsi="Arial" w:cs="Arial"/>
          <w:b/>
          <w:sz w:val="20"/>
          <w:szCs w:val="20"/>
        </w:rPr>
      </w:pPr>
      <w:r>
        <w:rPr>
          <w:rFonts w:ascii="Arial" w:hAnsi="Arial" w:cs="Arial"/>
          <w:b/>
          <w:sz w:val="20"/>
          <w:szCs w:val="20"/>
        </w:rPr>
        <w:t xml:space="preserve">TRIBUNAL DE CONTAS DO ESTADO DO PARANÁ </w:t>
      </w:r>
    </w:p>
    <w:p w:rsidR="006C7110" w:rsidRDefault="006C7110" w:rsidP="00816942">
      <w:pPr>
        <w:spacing w:after="0"/>
        <w:jc w:val="both"/>
        <w:rPr>
          <w:rStyle w:val="Hyperlink"/>
          <w:rFonts w:ascii="Arial" w:hAnsi="Arial" w:cs="Arial"/>
          <w:b/>
          <w:color w:val="000000" w:themeColor="text1"/>
          <w:sz w:val="20"/>
          <w:szCs w:val="20"/>
          <w:u w:val="none"/>
        </w:rPr>
      </w:pPr>
    </w:p>
    <w:p w:rsidR="004618F6" w:rsidRDefault="00D07B9C" w:rsidP="004618F6">
      <w:pPr>
        <w:autoSpaceDE w:val="0"/>
        <w:autoSpaceDN w:val="0"/>
        <w:adjustRightInd w:val="0"/>
        <w:spacing w:after="0"/>
        <w:jc w:val="both"/>
        <w:rPr>
          <w:rFonts w:ascii="Arial" w:hAnsi="Arial" w:cs="Arial"/>
          <w:b/>
          <w:iCs/>
          <w:sz w:val="20"/>
          <w:szCs w:val="20"/>
        </w:rPr>
      </w:pPr>
      <w:r>
        <w:rPr>
          <w:rFonts w:ascii="Arial" w:hAnsi="Arial" w:cs="Arial"/>
          <w:b/>
          <w:iCs/>
          <w:sz w:val="20"/>
          <w:szCs w:val="20"/>
        </w:rPr>
        <w:t xml:space="preserve">1. </w:t>
      </w:r>
      <w:r w:rsidR="004618F6">
        <w:rPr>
          <w:rFonts w:ascii="Arial" w:hAnsi="Arial" w:cs="Arial"/>
          <w:b/>
          <w:iCs/>
          <w:sz w:val="20"/>
          <w:szCs w:val="20"/>
        </w:rPr>
        <w:t>Comunicação de Irregularidade. Parecer técnico conclusivo. Licenciamento ambiental. Atividade técnica. Servidor efetivo e legalmente habilitado. Decisão Administrativa em procedimento de licenciamento ambiental. Segregação das funções. Ratificação de Cautelar.</w:t>
      </w:r>
    </w:p>
    <w:p w:rsidR="004618F6" w:rsidRDefault="004618F6" w:rsidP="004618F6">
      <w:pPr>
        <w:autoSpaceDE w:val="0"/>
        <w:autoSpaceDN w:val="0"/>
        <w:adjustRightInd w:val="0"/>
        <w:spacing w:after="0"/>
        <w:jc w:val="both"/>
        <w:rPr>
          <w:rFonts w:ascii="Arial" w:hAnsi="Arial" w:cs="Arial"/>
          <w:b/>
          <w:iCs/>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Especificamente no caso da Chefe do Escritório Regional analisado, a Inspetoria de Controle Externo competente informou que não identificou regist</w:t>
      </w:r>
      <w:r w:rsidR="00346440">
        <w:rPr>
          <w:rFonts w:ascii="Arial" w:hAnsi="Arial" w:cs="Arial"/>
          <w:sz w:val="20"/>
          <w:szCs w:val="20"/>
        </w:rPr>
        <w:t>r</w:t>
      </w:r>
      <w:r>
        <w:rPr>
          <w:rFonts w:ascii="Arial" w:hAnsi="Arial" w:cs="Arial"/>
          <w:sz w:val="20"/>
          <w:szCs w:val="20"/>
        </w:rPr>
        <w:t>o profissional em órgão de classe competente que a habilitasse para emitir pareceres conclusivos relacionados a procedimentos de licenciamento ambiental, e que consta no sítio eletrônico do Tribunal Superior Eleitoral que, quando se candidatou a vereadora, declarou possuir apenas o ensino médio completo.</w:t>
      </w:r>
    </w:p>
    <w:p w:rsidR="004618F6" w:rsidRDefault="004618F6"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Não obstante a existência de 04 servidores efetivos habilitados para a tarefa (responsáveis por 87% dos pareceres emitidos), a servidora comissionada teria emitido 26 pareceres conclusivos sobre pedidos de licença ambiental entre 01/01 e 22/11/2017 (todos favoráveis, equivalentes a investimentos em valor total superior a R$ 50 milhões), tendo executado, em vários deles, todas as etapas do processo sem a participação de nenhum servidor técnico efetivo do órgão licenciador estadual, sendo 24 deles no mesmo dia, dos quais um em apenas 19 minutos (conforme registros do Sistema de Gestão Ambiental), a despeito da quantidade de documentos a serem analisados e da necessidade de diligencias ao local do loteamento.</w:t>
      </w:r>
    </w:p>
    <w:p w:rsidR="004618F6" w:rsidRDefault="004618F6"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b/>
          <w:sz w:val="20"/>
          <w:szCs w:val="20"/>
        </w:rPr>
      </w:pPr>
      <w:r>
        <w:rPr>
          <w:rFonts w:ascii="Arial" w:hAnsi="Arial" w:cs="Arial"/>
          <w:color w:val="000000"/>
          <w:sz w:val="20"/>
          <w:szCs w:val="20"/>
        </w:rPr>
        <w:t>Destacou, ainda, que, em caso de insuficiência de servidores habilitados para emitir parecer conclusivo em regional, o procedimento previsto pela Portaria IAP nº 157/1998 é a obtenção de apoio junto a técnicos de outros Escritórios Regionais.</w:t>
      </w:r>
    </w:p>
    <w:p w:rsidR="004618F6" w:rsidRDefault="004618F6"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 xml:space="preserve">Diante da verossimilhança dos fatos, documentos e argumentos apresentados pela Inspetoria de Controle Externo competente, </w:t>
      </w:r>
      <w:r>
        <w:rPr>
          <w:rFonts w:ascii="Arial" w:hAnsi="Arial" w:cs="Arial"/>
          <w:bCs/>
          <w:sz w:val="20"/>
          <w:szCs w:val="20"/>
        </w:rPr>
        <w:t>merece acolhimento o pedido de expedição de medida cautelar em face do órgão ambiental do Estado do Paraná, para o fim de determinar a cessação imediata da emissão de Parecer Técnico Conclusivo de licenciamento ambiental por servidor sem habilitação legal, bem como a cessação imediata da emissão de Decisão Administrativa por servidor que tiver emitido Parecer Técnico Conclusivo no mesmo processo de licenciamento ambiental</w:t>
      </w:r>
      <w:r>
        <w:rPr>
          <w:rFonts w:ascii="Arial" w:hAnsi="Arial" w:cs="Arial"/>
          <w:sz w:val="20"/>
          <w:szCs w:val="20"/>
        </w:rPr>
        <w:t xml:space="preserve">, com fulcro nos </w:t>
      </w:r>
      <w:proofErr w:type="spellStart"/>
      <w:r>
        <w:rPr>
          <w:rFonts w:ascii="Arial" w:hAnsi="Arial" w:cs="Arial"/>
          <w:sz w:val="20"/>
          <w:szCs w:val="20"/>
        </w:rPr>
        <w:t>arts</w:t>
      </w:r>
      <w:proofErr w:type="spellEnd"/>
      <w:r>
        <w:rPr>
          <w:rFonts w:ascii="Arial" w:hAnsi="Arial" w:cs="Arial"/>
          <w:sz w:val="20"/>
          <w:szCs w:val="20"/>
        </w:rPr>
        <w:t xml:space="preserve">. 282, § 1º, 400, § 1º-A, e 403, II e III, do Regimento Interno, sob pena de responsabilização solidária do atual gestor, nos termos dos </w:t>
      </w:r>
      <w:proofErr w:type="spellStart"/>
      <w:r>
        <w:rPr>
          <w:rFonts w:ascii="Arial" w:hAnsi="Arial" w:cs="Arial"/>
          <w:sz w:val="20"/>
          <w:szCs w:val="20"/>
        </w:rPr>
        <w:t>arts</w:t>
      </w:r>
      <w:proofErr w:type="spellEnd"/>
      <w:r>
        <w:rPr>
          <w:rFonts w:ascii="Arial" w:hAnsi="Arial" w:cs="Arial"/>
          <w:sz w:val="20"/>
          <w:szCs w:val="20"/>
        </w:rPr>
        <w:t>. 400, § 3º, e 401, V, do mesmo Regimento.</w:t>
      </w:r>
    </w:p>
    <w:p w:rsidR="004618F6" w:rsidRDefault="004618F6"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 xml:space="preserve">Por sua vez, o perigo da demora decorre da possibilidade de emissão de atos administrativos passíveis de anulação, viciados pela incompetência do emitente e/ou pela violação ao princípio </w:t>
      </w:r>
      <w:r>
        <w:rPr>
          <w:rFonts w:ascii="Arial" w:hAnsi="Arial" w:cs="Arial"/>
          <w:sz w:val="20"/>
          <w:szCs w:val="20"/>
        </w:rPr>
        <w:lastRenderedPageBreak/>
        <w:t>da segregação de funções administrativas, assim como da possibilidade de que sejam produzidos danos ambientais em decorrência da concessão de licenciamentos irregulares, além do aumento do risco de fraudes.</w:t>
      </w:r>
    </w:p>
    <w:p w:rsidR="004618F6" w:rsidRDefault="004618F6"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 xml:space="preserve">Vale mencionar que o processo de licenciamento ambiental, nos termos da Resolução nº 237/1997 do Conselho Nacional do Meio Ambiente - CONAMA (art. 1º, II) e da Resolução nº 65/2008 do Conselho Estadual do Meio Ambiente - CEMA (art. 1º, VI e VIII), tem por objetivo verificar as condições legais e técnicas para empreendimentos e atividades que de qualquer forma possam utilizar recursos ambientais, poluir, degradar ou modificar o meio ambiente. Assim, a inadequação dessa atividade efetivamente produz o risco de que seja permitida a prática de atos que gerem ilícito ou dano ambiental. </w:t>
      </w:r>
    </w:p>
    <w:p w:rsidR="00A26FA4" w:rsidRDefault="00A26FA4"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 xml:space="preserve">Outrossim, cumpre explicitar que a cautelar ora ratificada não se limita aos dois Escritórios Regionais em que a inspetoria constatou as irregularidades, mas a todos os processos de licenciamento ambiental em trâmite no órgão. Dessa forma, diante da verossimilhança do direito alegado e do perigo da demora, encontram-se presentes os pressupostos de que tratam os </w:t>
      </w:r>
      <w:proofErr w:type="spellStart"/>
      <w:r>
        <w:rPr>
          <w:rFonts w:ascii="Arial" w:hAnsi="Arial" w:cs="Arial"/>
          <w:sz w:val="20"/>
          <w:szCs w:val="20"/>
        </w:rPr>
        <w:t>arts</w:t>
      </w:r>
      <w:proofErr w:type="spellEnd"/>
      <w:r>
        <w:rPr>
          <w:rFonts w:ascii="Arial" w:hAnsi="Arial" w:cs="Arial"/>
          <w:sz w:val="20"/>
          <w:szCs w:val="20"/>
        </w:rPr>
        <w:t>. 53 da Lei Orgânica deste Tribunal e 300, §2º, do Código de Processo Civil.</w:t>
      </w:r>
    </w:p>
    <w:p w:rsidR="004618F6" w:rsidRDefault="004618F6" w:rsidP="004618F6">
      <w:pPr>
        <w:autoSpaceDE w:val="0"/>
        <w:autoSpaceDN w:val="0"/>
        <w:adjustRightInd w:val="0"/>
        <w:spacing w:after="0"/>
        <w:jc w:val="both"/>
        <w:rPr>
          <w:rFonts w:ascii="Arial" w:hAnsi="Arial" w:cs="Arial"/>
          <w:sz w:val="20"/>
          <w:szCs w:val="20"/>
        </w:rPr>
      </w:pPr>
    </w:p>
    <w:p w:rsidR="004618F6" w:rsidRDefault="004618F6" w:rsidP="004618F6">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891442/17 - </w:t>
      </w:r>
      <w:hyperlink r:id="rId8" w:history="1">
        <w:r>
          <w:rPr>
            <w:rStyle w:val="Hyperlink"/>
            <w:rFonts w:ascii="Arial" w:hAnsi="Arial" w:cs="Arial"/>
            <w:sz w:val="20"/>
            <w:szCs w:val="20"/>
          </w:rPr>
          <w:t>Acórdão n° 321/18 - Tribunal Pleno</w:t>
        </w:r>
      </w:hyperlink>
      <w:r>
        <w:rPr>
          <w:rFonts w:ascii="Arial" w:hAnsi="Arial" w:cs="Arial"/>
          <w:sz w:val="20"/>
          <w:szCs w:val="20"/>
        </w:rPr>
        <w:t xml:space="preserve"> - Rel. Cons. Ivens Zschoerper Linhares. </w:t>
      </w:r>
    </w:p>
    <w:p w:rsidR="006C7110" w:rsidRDefault="006C7110" w:rsidP="00816942">
      <w:pPr>
        <w:spacing w:after="0"/>
        <w:jc w:val="both"/>
        <w:rPr>
          <w:rStyle w:val="Hyperlink"/>
          <w:rFonts w:ascii="Arial" w:hAnsi="Arial" w:cs="Arial"/>
          <w:b/>
          <w:color w:val="000000" w:themeColor="text1"/>
          <w:sz w:val="20"/>
          <w:szCs w:val="20"/>
          <w:u w:val="none"/>
        </w:rPr>
      </w:pPr>
    </w:p>
    <w:p w:rsidR="006C7110" w:rsidRPr="0022060B" w:rsidRDefault="006C7110" w:rsidP="006C7110">
      <w:pPr>
        <w:shd w:val="pct10" w:color="auto" w:fill="auto"/>
        <w:spacing w:after="0"/>
        <w:jc w:val="center"/>
        <w:rPr>
          <w:rFonts w:ascii="Arial" w:hAnsi="Arial" w:cs="Arial"/>
          <w:b/>
          <w:sz w:val="20"/>
          <w:szCs w:val="20"/>
        </w:rPr>
      </w:pPr>
      <w:r>
        <w:rPr>
          <w:rFonts w:ascii="Arial" w:hAnsi="Arial" w:cs="Arial"/>
          <w:b/>
          <w:sz w:val="20"/>
          <w:szCs w:val="20"/>
        </w:rPr>
        <w:t xml:space="preserve">TRIBUNAL DE CONTAS DA UNIÃO </w:t>
      </w:r>
    </w:p>
    <w:p w:rsidR="006C7110" w:rsidRDefault="006C7110" w:rsidP="00816942">
      <w:pPr>
        <w:spacing w:after="0"/>
        <w:jc w:val="both"/>
        <w:rPr>
          <w:rStyle w:val="Hyperlink"/>
          <w:rFonts w:ascii="Arial" w:hAnsi="Arial" w:cs="Arial"/>
          <w:b/>
          <w:color w:val="000000" w:themeColor="text1"/>
          <w:sz w:val="20"/>
          <w:szCs w:val="20"/>
          <w:u w:val="none"/>
        </w:rPr>
      </w:pPr>
    </w:p>
    <w:p w:rsidR="00D52613" w:rsidRPr="00D52613" w:rsidRDefault="001F0DA1" w:rsidP="00816942">
      <w:pPr>
        <w:spacing w:after="0"/>
        <w:jc w:val="both"/>
        <w:rPr>
          <w:rFonts w:ascii="Arial" w:hAnsi="Arial" w:cs="Arial"/>
          <w:b/>
          <w:sz w:val="20"/>
          <w:szCs w:val="20"/>
        </w:rPr>
      </w:pPr>
      <w:r>
        <w:rPr>
          <w:rFonts w:ascii="Arial" w:hAnsi="Arial" w:cs="Arial"/>
          <w:b/>
          <w:sz w:val="20"/>
          <w:szCs w:val="20"/>
        </w:rPr>
        <w:t xml:space="preserve">2. </w:t>
      </w:r>
      <w:r w:rsidR="000F6BD6" w:rsidRPr="00D52613">
        <w:rPr>
          <w:rFonts w:ascii="Arial" w:hAnsi="Arial" w:cs="Arial"/>
          <w:b/>
          <w:sz w:val="20"/>
          <w:szCs w:val="20"/>
        </w:rPr>
        <w:t xml:space="preserve">Responsabilidade. Licitação. Comissão de licitação. Estudo de impacto ambiental. </w:t>
      </w:r>
    </w:p>
    <w:p w:rsidR="00D52613" w:rsidRDefault="00D52613" w:rsidP="00816942">
      <w:pPr>
        <w:spacing w:after="0"/>
        <w:jc w:val="both"/>
        <w:rPr>
          <w:rFonts w:ascii="Arial" w:hAnsi="Arial" w:cs="Arial"/>
          <w:sz w:val="20"/>
          <w:szCs w:val="20"/>
        </w:rPr>
      </w:pPr>
    </w:p>
    <w:p w:rsidR="000F6BD6" w:rsidRDefault="000F6BD6" w:rsidP="00816942">
      <w:pPr>
        <w:spacing w:after="0"/>
        <w:jc w:val="both"/>
        <w:rPr>
          <w:rFonts w:ascii="Arial" w:hAnsi="Arial" w:cs="Arial"/>
          <w:sz w:val="20"/>
          <w:szCs w:val="20"/>
        </w:rPr>
      </w:pPr>
      <w:r w:rsidRPr="000F6BD6">
        <w:rPr>
          <w:rFonts w:ascii="Arial" w:hAnsi="Arial" w:cs="Arial"/>
          <w:sz w:val="20"/>
          <w:szCs w:val="20"/>
        </w:rPr>
        <w:t>A irregularidade concernente à realização de certame licitatório sem prévio estudo de impacto ambiental não deve ser imputada aos integrantes da comissão de licitação, porquanto suas competências são meramente executórias e consistem, basicamente, na efetivação dos procedimentos necessários à habilitação e à classificação de propostas, conforme se depreende da Lei 8.666/1993.</w:t>
      </w:r>
    </w:p>
    <w:p w:rsidR="00674674" w:rsidRPr="000F6BD6" w:rsidRDefault="00674674" w:rsidP="00816942">
      <w:pPr>
        <w:spacing w:after="0"/>
        <w:jc w:val="both"/>
        <w:rPr>
          <w:rStyle w:val="Hyperlink"/>
          <w:rFonts w:ascii="Arial" w:hAnsi="Arial" w:cs="Arial"/>
          <w:b/>
          <w:color w:val="000000" w:themeColor="text1"/>
          <w:sz w:val="20"/>
          <w:szCs w:val="20"/>
          <w:u w:val="none"/>
        </w:rPr>
      </w:pPr>
    </w:p>
    <w:p w:rsidR="00674674" w:rsidRPr="00674674" w:rsidRDefault="00514510" w:rsidP="00514510">
      <w:pPr>
        <w:pStyle w:val="TCU-Epgrafe"/>
        <w:ind w:left="0"/>
        <w:rPr>
          <w:rFonts w:ascii="Arial" w:hAnsi="Arial" w:cs="Arial"/>
          <w:sz w:val="20"/>
        </w:rPr>
      </w:pPr>
      <w:r w:rsidRPr="00514510">
        <w:rPr>
          <w:rFonts w:ascii="Arial" w:hAnsi="Arial" w:cs="Arial"/>
          <w:sz w:val="20"/>
        </w:rPr>
        <w:t>TC-023.186/2006-0</w:t>
      </w:r>
      <w:r>
        <w:rPr>
          <w:rFonts w:ascii="Arial" w:hAnsi="Arial" w:cs="Arial"/>
          <w:sz w:val="20"/>
        </w:rPr>
        <w:t xml:space="preserve"> - </w:t>
      </w:r>
      <w:hyperlink r:id="rId9" w:history="1">
        <w:r w:rsidR="00674674" w:rsidRPr="00674674">
          <w:rPr>
            <w:rStyle w:val="Hyperlink"/>
            <w:rFonts w:ascii="Arial" w:hAnsi="Arial" w:cs="Arial"/>
            <w:sz w:val="20"/>
          </w:rPr>
          <w:t>Acórdão 1229/2017 - Plenário</w:t>
        </w:r>
      </w:hyperlink>
      <w:r w:rsidR="00674674" w:rsidRPr="00674674">
        <w:rPr>
          <w:rFonts w:ascii="Arial" w:hAnsi="Arial" w:cs="Arial"/>
          <w:sz w:val="20"/>
        </w:rPr>
        <w:t xml:space="preserve"> (Tomada de Contas Especial, Relator Ministro José </w:t>
      </w:r>
      <w:proofErr w:type="spellStart"/>
      <w:r w:rsidR="00674674" w:rsidRPr="00674674">
        <w:rPr>
          <w:rFonts w:ascii="Arial" w:hAnsi="Arial" w:cs="Arial"/>
          <w:sz w:val="20"/>
        </w:rPr>
        <w:t>Múcio</w:t>
      </w:r>
      <w:proofErr w:type="spellEnd"/>
      <w:r w:rsidR="00674674" w:rsidRPr="00674674">
        <w:rPr>
          <w:rFonts w:ascii="Arial" w:hAnsi="Arial" w:cs="Arial"/>
          <w:sz w:val="20"/>
        </w:rPr>
        <w:t xml:space="preserve"> Monteiro).</w:t>
      </w:r>
    </w:p>
    <w:p w:rsidR="006C7110" w:rsidRDefault="006C7110" w:rsidP="00816942">
      <w:pPr>
        <w:spacing w:after="0"/>
        <w:jc w:val="both"/>
        <w:rPr>
          <w:rStyle w:val="Hyperlink"/>
          <w:rFonts w:ascii="Arial" w:hAnsi="Arial" w:cs="Arial"/>
          <w:b/>
          <w:color w:val="000000" w:themeColor="text1"/>
          <w:sz w:val="20"/>
          <w:szCs w:val="20"/>
          <w:u w:val="none"/>
        </w:rPr>
      </w:pPr>
    </w:p>
    <w:p w:rsidR="00635F65" w:rsidRPr="002E5674" w:rsidRDefault="001F0DA1" w:rsidP="00935C1F">
      <w:pPr>
        <w:spacing w:after="0"/>
        <w:jc w:val="both"/>
        <w:rPr>
          <w:rFonts w:ascii="Arial" w:hAnsi="Arial" w:cs="Arial"/>
          <w:b/>
          <w:sz w:val="20"/>
          <w:szCs w:val="20"/>
          <w:shd w:val="clear" w:color="auto" w:fill="FFFFFF"/>
        </w:rPr>
      </w:pPr>
      <w:r>
        <w:rPr>
          <w:rFonts w:ascii="Arial" w:hAnsi="Arial" w:cs="Arial"/>
          <w:b/>
          <w:sz w:val="20"/>
          <w:szCs w:val="20"/>
          <w:shd w:val="clear" w:color="auto" w:fill="FFFFFF"/>
        </w:rPr>
        <w:t xml:space="preserve">3. </w:t>
      </w:r>
      <w:r w:rsidR="00635F65" w:rsidRPr="002E5674">
        <w:rPr>
          <w:rFonts w:ascii="Arial" w:hAnsi="Arial" w:cs="Arial"/>
          <w:b/>
          <w:sz w:val="20"/>
          <w:szCs w:val="20"/>
          <w:shd w:val="clear" w:color="auto" w:fill="FFFFFF"/>
        </w:rPr>
        <w:t>Responsabilidade. Licitação. Homologação. Ausência. Estudo de impacto ambiental. Licença ambiental.</w:t>
      </w:r>
    </w:p>
    <w:p w:rsidR="00635F65" w:rsidRDefault="00635F65" w:rsidP="00935C1F">
      <w:pPr>
        <w:spacing w:after="0"/>
        <w:jc w:val="both"/>
        <w:rPr>
          <w:rFonts w:ascii="Arial" w:hAnsi="Arial" w:cs="Arial"/>
          <w:sz w:val="20"/>
          <w:szCs w:val="20"/>
          <w:shd w:val="clear" w:color="auto" w:fill="FFFFFF"/>
        </w:rPr>
      </w:pPr>
    </w:p>
    <w:p w:rsidR="00935C1F" w:rsidRDefault="00935C1F" w:rsidP="00935C1F">
      <w:pPr>
        <w:spacing w:after="0"/>
        <w:jc w:val="both"/>
        <w:rPr>
          <w:rFonts w:ascii="Arial" w:hAnsi="Arial" w:cs="Arial"/>
          <w:sz w:val="20"/>
          <w:szCs w:val="20"/>
          <w:shd w:val="clear" w:color="auto" w:fill="FFFFFF"/>
        </w:rPr>
      </w:pPr>
      <w:r w:rsidRPr="00935C1F">
        <w:rPr>
          <w:rFonts w:ascii="Arial" w:hAnsi="Arial" w:cs="Arial"/>
          <w:sz w:val="20"/>
          <w:szCs w:val="20"/>
          <w:shd w:val="clear" w:color="auto" w:fill="FFFFFF"/>
        </w:rPr>
        <w:t>A ausência de licença ambiental e dos estudos necessários sobre as fontes de materiais a serem utilizados na obra é irregularidade que pesa sobre os gestores responsáveis pela homologação do certame, pela aprovação do projeto e também sobre o responsável por dar início aos serviços.</w:t>
      </w:r>
    </w:p>
    <w:p w:rsidR="00674674" w:rsidRDefault="00674674" w:rsidP="00935C1F">
      <w:pPr>
        <w:spacing w:after="0"/>
        <w:jc w:val="both"/>
        <w:rPr>
          <w:rFonts w:ascii="Arial" w:hAnsi="Arial" w:cs="Arial"/>
          <w:sz w:val="20"/>
          <w:szCs w:val="20"/>
          <w:shd w:val="clear" w:color="auto" w:fill="FFFFFF"/>
        </w:rPr>
      </w:pPr>
    </w:p>
    <w:p w:rsidR="00674674" w:rsidRPr="00674674" w:rsidRDefault="00E32F20" w:rsidP="00E32F20">
      <w:pPr>
        <w:pStyle w:val="TCU-Epgrafe"/>
        <w:ind w:left="0"/>
        <w:rPr>
          <w:rStyle w:val="Hyperlink"/>
          <w:rFonts w:ascii="Arial" w:hAnsi="Arial" w:cs="Arial"/>
          <w:color w:val="000000" w:themeColor="text1"/>
          <w:sz w:val="20"/>
          <w:u w:val="none"/>
        </w:rPr>
      </w:pPr>
      <w:r w:rsidRPr="00E32F20">
        <w:rPr>
          <w:rFonts w:ascii="Arial" w:hAnsi="Arial" w:cs="Arial"/>
          <w:sz w:val="20"/>
        </w:rPr>
        <w:lastRenderedPageBreak/>
        <w:t>TC 013.350/2008-1</w:t>
      </w:r>
      <w:r>
        <w:rPr>
          <w:rFonts w:ascii="Arial" w:hAnsi="Arial" w:cs="Arial"/>
          <w:sz w:val="20"/>
        </w:rPr>
        <w:t xml:space="preserve">  - </w:t>
      </w:r>
      <w:hyperlink r:id="rId10" w:history="1">
        <w:r w:rsidR="00674674" w:rsidRPr="00674674">
          <w:rPr>
            <w:rStyle w:val="Hyperlink"/>
            <w:rFonts w:ascii="Arial" w:hAnsi="Arial" w:cs="Arial"/>
            <w:sz w:val="20"/>
          </w:rPr>
          <w:t>Acórdão 1096/2012 - Plenário</w:t>
        </w:r>
      </w:hyperlink>
      <w:r w:rsidR="00674674" w:rsidRPr="00674674">
        <w:rPr>
          <w:rStyle w:val="Hyperlink"/>
          <w:rFonts w:ascii="Arial" w:hAnsi="Arial" w:cs="Arial"/>
          <w:color w:val="000000" w:themeColor="text1"/>
          <w:sz w:val="20"/>
          <w:u w:val="none"/>
        </w:rPr>
        <w:t xml:space="preserve"> (Relatório de Levantamento, Relator Ana Arraes)</w:t>
      </w:r>
    </w:p>
    <w:p w:rsidR="006C7110" w:rsidRDefault="006C7110" w:rsidP="00816942">
      <w:pPr>
        <w:spacing w:after="0"/>
        <w:jc w:val="both"/>
        <w:rPr>
          <w:rStyle w:val="Hyperlink"/>
          <w:rFonts w:ascii="Arial" w:hAnsi="Arial" w:cs="Arial"/>
          <w:b/>
          <w:color w:val="000000" w:themeColor="text1"/>
          <w:sz w:val="20"/>
          <w:szCs w:val="20"/>
          <w:u w:val="none"/>
        </w:rPr>
      </w:pPr>
    </w:p>
    <w:p w:rsidR="00E2049E" w:rsidRPr="0022060B" w:rsidRDefault="00E2049E" w:rsidP="00E2049E">
      <w:pPr>
        <w:shd w:val="pct10" w:color="auto" w:fill="auto"/>
        <w:spacing w:after="0"/>
        <w:jc w:val="center"/>
        <w:rPr>
          <w:rFonts w:ascii="Arial" w:hAnsi="Arial" w:cs="Arial"/>
          <w:b/>
          <w:sz w:val="20"/>
          <w:szCs w:val="20"/>
        </w:rPr>
      </w:pPr>
      <w:r>
        <w:rPr>
          <w:rFonts w:ascii="Arial" w:hAnsi="Arial" w:cs="Arial"/>
          <w:b/>
          <w:sz w:val="20"/>
          <w:szCs w:val="20"/>
        </w:rPr>
        <w:t xml:space="preserve">TRIBUNAL DE CONTAS DO ESTADO DO AMAZONAS </w:t>
      </w:r>
    </w:p>
    <w:p w:rsidR="00E2049E" w:rsidRDefault="00E2049E" w:rsidP="00816942">
      <w:pPr>
        <w:spacing w:after="0"/>
        <w:jc w:val="both"/>
        <w:rPr>
          <w:rStyle w:val="Hyperlink"/>
          <w:rFonts w:ascii="Arial" w:hAnsi="Arial" w:cs="Arial"/>
          <w:b/>
          <w:color w:val="000000" w:themeColor="text1"/>
          <w:sz w:val="20"/>
          <w:szCs w:val="20"/>
          <w:u w:val="none"/>
        </w:rPr>
      </w:pPr>
    </w:p>
    <w:p w:rsidR="002B2C4F" w:rsidRDefault="00831891" w:rsidP="00816942">
      <w:pPr>
        <w:spacing w:after="0"/>
        <w:jc w:val="both"/>
        <w:rPr>
          <w:rFonts w:ascii="Arial" w:hAnsi="Arial" w:cs="Arial"/>
          <w:b/>
          <w:sz w:val="20"/>
          <w:szCs w:val="20"/>
        </w:rPr>
      </w:pPr>
      <w:r>
        <w:rPr>
          <w:rFonts w:ascii="Arial" w:hAnsi="Arial" w:cs="Arial"/>
          <w:b/>
          <w:sz w:val="20"/>
          <w:szCs w:val="20"/>
        </w:rPr>
        <w:t xml:space="preserve">4. </w:t>
      </w:r>
      <w:r w:rsidR="009B5154" w:rsidRPr="009B5154">
        <w:rPr>
          <w:rFonts w:ascii="Arial" w:hAnsi="Arial" w:cs="Arial"/>
          <w:b/>
          <w:sz w:val="20"/>
          <w:szCs w:val="20"/>
        </w:rPr>
        <w:t>Auditoria Operacional e Ambiental em Unidades de Conservação Estaduais</w:t>
      </w:r>
      <w:r w:rsidR="001C0412">
        <w:rPr>
          <w:rFonts w:ascii="Arial" w:hAnsi="Arial" w:cs="Arial"/>
          <w:b/>
          <w:sz w:val="20"/>
          <w:szCs w:val="20"/>
        </w:rPr>
        <w:t xml:space="preserve"> (</w:t>
      </w:r>
      <w:proofErr w:type="spellStart"/>
      <w:r w:rsidR="001C0412">
        <w:rPr>
          <w:rFonts w:ascii="Arial" w:hAnsi="Arial" w:cs="Arial"/>
          <w:b/>
          <w:sz w:val="20"/>
          <w:szCs w:val="20"/>
        </w:rPr>
        <w:t>UCEs</w:t>
      </w:r>
      <w:proofErr w:type="spellEnd"/>
      <w:r w:rsidR="001C0412">
        <w:rPr>
          <w:rFonts w:ascii="Arial" w:hAnsi="Arial" w:cs="Arial"/>
          <w:b/>
          <w:sz w:val="20"/>
          <w:szCs w:val="20"/>
        </w:rPr>
        <w:t>)</w:t>
      </w:r>
      <w:r w:rsidR="00D31E3A">
        <w:rPr>
          <w:rFonts w:ascii="Arial" w:hAnsi="Arial" w:cs="Arial"/>
          <w:b/>
          <w:sz w:val="20"/>
          <w:szCs w:val="20"/>
        </w:rPr>
        <w:t xml:space="preserve"> do Amazonas.</w:t>
      </w:r>
      <w:r w:rsidR="00F120F5">
        <w:rPr>
          <w:rFonts w:ascii="Arial" w:hAnsi="Arial" w:cs="Arial"/>
          <w:b/>
          <w:sz w:val="20"/>
          <w:szCs w:val="20"/>
        </w:rPr>
        <w:t xml:space="preserve"> *</w:t>
      </w:r>
      <w:r w:rsidR="00D31E3A" w:rsidRPr="00D31E3A">
        <w:rPr>
          <w:rFonts w:ascii="Arial" w:hAnsi="Arial" w:cs="Arial"/>
          <w:b/>
          <w:sz w:val="20"/>
          <w:szCs w:val="20"/>
        </w:rPr>
        <w:t xml:space="preserve"> </w:t>
      </w:r>
    </w:p>
    <w:p w:rsidR="009B5154" w:rsidRDefault="009B5154" w:rsidP="00816942">
      <w:pPr>
        <w:spacing w:after="0"/>
        <w:jc w:val="both"/>
        <w:rPr>
          <w:rFonts w:ascii="Arial" w:hAnsi="Arial" w:cs="Arial"/>
          <w:b/>
          <w:sz w:val="20"/>
          <w:szCs w:val="20"/>
        </w:rPr>
      </w:pPr>
    </w:p>
    <w:p w:rsidR="009B5154" w:rsidRPr="00014ADB" w:rsidRDefault="009B5154" w:rsidP="009B5154">
      <w:pPr>
        <w:spacing w:after="0"/>
        <w:jc w:val="both"/>
        <w:rPr>
          <w:rFonts w:ascii="Arial" w:eastAsia="Times New Roman" w:hAnsi="Arial" w:cs="Arial"/>
          <w:sz w:val="20"/>
          <w:szCs w:val="20"/>
          <w:lang w:eastAsia="pt-BR"/>
        </w:rPr>
      </w:pPr>
      <w:r w:rsidRPr="00014ADB">
        <w:rPr>
          <w:rFonts w:ascii="Arial" w:eastAsia="Times New Roman" w:hAnsi="Arial" w:cs="Arial"/>
          <w:sz w:val="20"/>
          <w:szCs w:val="20"/>
          <w:lang w:eastAsia="pt-BR"/>
        </w:rPr>
        <w:t>A</w:t>
      </w:r>
      <w:r w:rsidRPr="002B2C4F">
        <w:rPr>
          <w:rFonts w:ascii="Arial" w:eastAsia="Times New Roman" w:hAnsi="Arial" w:cs="Arial"/>
          <w:sz w:val="20"/>
          <w:szCs w:val="20"/>
          <w:lang w:eastAsia="pt-BR"/>
        </w:rPr>
        <w:t>s</w:t>
      </w:r>
      <w:r w:rsidRPr="00014ADB">
        <w:rPr>
          <w:rFonts w:ascii="Arial" w:eastAsia="Times New Roman" w:hAnsi="Arial" w:cs="Arial"/>
          <w:sz w:val="20"/>
          <w:szCs w:val="20"/>
          <w:lang w:eastAsia="pt-BR"/>
        </w:rPr>
        <w:t xml:space="preserve"> </w:t>
      </w:r>
      <w:r w:rsidRPr="002B2C4F">
        <w:rPr>
          <w:rFonts w:ascii="Arial" w:eastAsia="Times New Roman" w:hAnsi="Arial" w:cs="Arial"/>
          <w:sz w:val="20"/>
          <w:szCs w:val="20"/>
          <w:lang w:eastAsia="pt-BR"/>
        </w:rPr>
        <w:t xml:space="preserve">unidades de conservação ambiental são </w:t>
      </w:r>
      <w:proofErr w:type="gramStart"/>
      <w:r w:rsidRPr="002B2C4F">
        <w:rPr>
          <w:rFonts w:ascii="Arial" w:eastAsia="Times New Roman" w:hAnsi="Arial" w:cs="Arial"/>
          <w:sz w:val="20"/>
          <w:szCs w:val="20"/>
          <w:lang w:eastAsia="pt-BR"/>
        </w:rPr>
        <w:t>espaços</w:t>
      </w:r>
      <w:proofErr w:type="gramEnd"/>
      <w:r w:rsidRPr="002B2C4F">
        <w:rPr>
          <w:rFonts w:ascii="Arial" w:eastAsia="Times New Roman" w:hAnsi="Arial" w:cs="Arial"/>
          <w:sz w:val="20"/>
          <w:szCs w:val="20"/>
          <w:lang w:eastAsia="pt-BR"/>
        </w:rPr>
        <w:t xml:space="preserve"> geralmente formados por áreas contínuas, institucionalizados com o objetivo de preservar e conservar a flora, a fauna, os recursos hídricos, as características geológicas, culturais, as belezas naturais, recuperar ecossistemas degradados, promover o desenvolvimento sustentável, entre outros fatores que contribuem para a preservação ambiental</w:t>
      </w:r>
      <w:r w:rsidRPr="00014ADB">
        <w:rPr>
          <w:rFonts w:ascii="Arial" w:eastAsia="Times New Roman" w:hAnsi="Arial" w:cs="Arial"/>
          <w:sz w:val="20"/>
          <w:szCs w:val="20"/>
          <w:lang w:eastAsia="pt-BR"/>
        </w:rPr>
        <w:t xml:space="preserve">. </w:t>
      </w:r>
    </w:p>
    <w:p w:rsidR="009B5154" w:rsidRPr="00014ADB" w:rsidRDefault="009B5154" w:rsidP="009B5154">
      <w:pPr>
        <w:spacing w:after="0"/>
        <w:jc w:val="both"/>
        <w:rPr>
          <w:rFonts w:ascii="Arial" w:eastAsia="Times New Roman" w:hAnsi="Arial" w:cs="Arial"/>
          <w:sz w:val="20"/>
          <w:szCs w:val="20"/>
          <w:lang w:eastAsia="pt-BR"/>
        </w:rPr>
      </w:pPr>
    </w:p>
    <w:p w:rsidR="009B5154" w:rsidRPr="00014ADB" w:rsidRDefault="009B5154" w:rsidP="009B5154">
      <w:pPr>
        <w:spacing w:after="0"/>
        <w:jc w:val="both"/>
        <w:rPr>
          <w:rFonts w:ascii="Arial" w:eastAsia="Times New Roman" w:hAnsi="Arial" w:cs="Arial"/>
          <w:sz w:val="20"/>
          <w:szCs w:val="20"/>
          <w:lang w:eastAsia="pt-BR"/>
        </w:rPr>
      </w:pPr>
      <w:r w:rsidRPr="002B2C4F">
        <w:rPr>
          <w:rFonts w:ascii="Arial" w:eastAsia="Times New Roman" w:hAnsi="Arial" w:cs="Arial"/>
          <w:sz w:val="20"/>
          <w:szCs w:val="20"/>
          <w:lang w:eastAsia="pt-BR"/>
        </w:rPr>
        <w:t>Elas são classificadas como: Parques Nacionais, Reservas Biológicas, Reservas Ecológicas, Estações Ecológicas, Áreas de Proteção Ambiental, Áreas de Relevante Interesse Ecológico, Floresta Nacional, Reserva Extrativista, Refúgio de Vida Silvestre, Reserva da Fauna, Reserva de Desenvolvimento Sustentável e Reserva Particular do Patrimônio Natural.</w:t>
      </w:r>
    </w:p>
    <w:p w:rsidR="0063429C" w:rsidRPr="00014ADB" w:rsidRDefault="0063429C" w:rsidP="009B5154">
      <w:pPr>
        <w:spacing w:after="0"/>
        <w:jc w:val="both"/>
        <w:rPr>
          <w:rFonts w:ascii="Arial" w:eastAsia="Times New Roman" w:hAnsi="Arial" w:cs="Arial"/>
          <w:sz w:val="20"/>
          <w:szCs w:val="20"/>
          <w:lang w:eastAsia="pt-BR"/>
        </w:rPr>
      </w:pPr>
    </w:p>
    <w:p w:rsidR="009B5154" w:rsidRDefault="0063429C" w:rsidP="00816942">
      <w:pPr>
        <w:spacing w:after="0"/>
        <w:jc w:val="both"/>
        <w:rPr>
          <w:rFonts w:ascii="Arial" w:eastAsia="Times New Roman" w:hAnsi="Arial" w:cs="Arial"/>
          <w:sz w:val="20"/>
          <w:szCs w:val="20"/>
          <w:lang w:eastAsia="pt-BR"/>
        </w:rPr>
      </w:pPr>
      <w:r w:rsidRPr="009B5154">
        <w:rPr>
          <w:rFonts w:ascii="Arial" w:eastAsia="Times New Roman" w:hAnsi="Arial" w:cs="Arial"/>
          <w:sz w:val="20"/>
          <w:szCs w:val="20"/>
          <w:lang w:eastAsia="pt-BR"/>
        </w:rPr>
        <w:t xml:space="preserve">A execução da auditoria </w:t>
      </w:r>
      <w:r w:rsidRPr="00014ADB">
        <w:rPr>
          <w:rFonts w:ascii="Arial" w:eastAsia="Times New Roman" w:hAnsi="Arial" w:cs="Arial"/>
          <w:sz w:val="20"/>
          <w:szCs w:val="20"/>
          <w:lang w:eastAsia="pt-BR"/>
        </w:rPr>
        <w:t xml:space="preserve">teve </w:t>
      </w:r>
      <w:r w:rsidRPr="009B5154">
        <w:rPr>
          <w:rFonts w:ascii="Arial" w:eastAsia="Times New Roman" w:hAnsi="Arial" w:cs="Arial"/>
          <w:sz w:val="20"/>
          <w:szCs w:val="20"/>
          <w:lang w:eastAsia="pt-BR"/>
        </w:rPr>
        <w:t>fases específicas</w:t>
      </w:r>
      <w:r w:rsidR="00731BED">
        <w:rPr>
          <w:rFonts w:ascii="Arial" w:eastAsia="Times New Roman" w:hAnsi="Arial" w:cs="Arial"/>
          <w:sz w:val="20"/>
          <w:szCs w:val="20"/>
          <w:lang w:eastAsia="pt-BR"/>
        </w:rPr>
        <w:t xml:space="preserve">: </w:t>
      </w:r>
      <w:r w:rsidRPr="009B5154">
        <w:rPr>
          <w:rFonts w:ascii="Arial" w:eastAsia="Times New Roman" w:hAnsi="Arial" w:cs="Arial"/>
          <w:sz w:val="20"/>
          <w:szCs w:val="20"/>
          <w:lang w:eastAsia="pt-BR"/>
        </w:rPr>
        <w:t>planejamento inicial, avançado, de execução, elaboração de relatórios e, posteriormente, de monitoramento.</w:t>
      </w:r>
      <w:r w:rsidR="009E3535">
        <w:rPr>
          <w:rFonts w:ascii="Arial" w:eastAsia="Times New Roman" w:hAnsi="Arial" w:cs="Arial"/>
          <w:sz w:val="20"/>
          <w:szCs w:val="20"/>
          <w:lang w:eastAsia="pt-BR"/>
        </w:rPr>
        <w:t xml:space="preserve"> Seu objetivo precípuo foi o de avaliar a governança ambiental das Unidades, identificando riscos e oportunidades de melhoria de gestão por meio da avaliação das condições normativas, institucionais e operacionais necessárias para que as </w:t>
      </w:r>
      <w:r w:rsidR="00731BED">
        <w:rPr>
          <w:rFonts w:ascii="Arial" w:eastAsia="Times New Roman" w:hAnsi="Arial" w:cs="Arial"/>
          <w:sz w:val="20"/>
          <w:szCs w:val="20"/>
          <w:lang w:eastAsia="pt-BR"/>
        </w:rPr>
        <w:t xml:space="preserve">mesmas </w:t>
      </w:r>
      <w:r w:rsidR="009E3535">
        <w:rPr>
          <w:rFonts w:ascii="Arial" w:eastAsia="Times New Roman" w:hAnsi="Arial" w:cs="Arial"/>
          <w:sz w:val="20"/>
          <w:szCs w:val="20"/>
          <w:lang w:eastAsia="pt-BR"/>
        </w:rPr>
        <w:t xml:space="preserve">alcancem os seus objetivos para os quais foram criadas. </w:t>
      </w:r>
    </w:p>
    <w:p w:rsidR="009E3535" w:rsidRDefault="009E3535" w:rsidP="00816942">
      <w:pPr>
        <w:spacing w:after="0"/>
        <w:jc w:val="both"/>
        <w:rPr>
          <w:rFonts w:ascii="Arial" w:eastAsia="Times New Roman" w:hAnsi="Arial" w:cs="Arial"/>
          <w:sz w:val="20"/>
          <w:szCs w:val="20"/>
          <w:lang w:eastAsia="pt-BR"/>
        </w:rPr>
      </w:pPr>
    </w:p>
    <w:p w:rsidR="00222974" w:rsidRDefault="009E3535" w:rsidP="00222974">
      <w:pPr>
        <w:spacing w:after="0"/>
        <w:jc w:val="both"/>
        <w:rPr>
          <w:rFonts w:ascii="Arial" w:hAnsi="Arial" w:cs="Arial"/>
          <w:b/>
          <w:sz w:val="20"/>
          <w:szCs w:val="20"/>
        </w:rPr>
      </w:pPr>
      <w:r>
        <w:rPr>
          <w:rFonts w:ascii="Arial" w:eastAsia="Times New Roman" w:hAnsi="Arial" w:cs="Arial"/>
          <w:sz w:val="20"/>
          <w:szCs w:val="20"/>
          <w:lang w:eastAsia="pt-BR"/>
        </w:rPr>
        <w:t xml:space="preserve">Informe Executivo do Relatório de Auditoria Operacional e Ambiental em </w:t>
      </w:r>
      <w:proofErr w:type="spellStart"/>
      <w:r>
        <w:rPr>
          <w:rFonts w:ascii="Arial" w:eastAsia="Times New Roman" w:hAnsi="Arial" w:cs="Arial"/>
          <w:sz w:val="20"/>
          <w:szCs w:val="20"/>
          <w:lang w:eastAsia="pt-BR"/>
        </w:rPr>
        <w:t>UC</w:t>
      </w:r>
      <w:r w:rsidR="00E410A7">
        <w:rPr>
          <w:rFonts w:ascii="Arial" w:eastAsia="Times New Roman" w:hAnsi="Arial" w:cs="Arial"/>
          <w:sz w:val="20"/>
          <w:szCs w:val="20"/>
          <w:lang w:eastAsia="pt-BR"/>
        </w:rPr>
        <w:t>Es</w:t>
      </w:r>
      <w:proofErr w:type="spellEnd"/>
      <w:r w:rsidR="00263755">
        <w:rPr>
          <w:rFonts w:ascii="Arial" w:eastAsia="Times New Roman" w:hAnsi="Arial" w:cs="Arial"/>
          <w:sz w:val="20"/>
          <w:szCs w:val="20"/>
          <w:lang w:eastAsia="pt-BR"/>
        </w:rPr>
        <w:t xml:space="preserve"> 2013</w:t>
      </w:r>
      <w:r>
        <w:rPr>
          <w:rFonts w:ascii="Arial" w:eastAsia="Times New Roman" w:hAnsi="Arial" w:cs="Arial"/>
          <w:sz w:val="20"/>
          <w:szCs w:val="20"/>
          <w:lang w:eastAsia="pt-BR"/>
        </w:rPr>
        <w:t>:</w:t>
      </w:r>
      <w:r w:rsidR="00222974">
        <w:rPr>
          <w:rFonts w:ascii="Arial" w:eastAsia="Times New Roman" w:hAnsi="Arial" w:cs="Arial"/>
          <w:sz w:val="20"/>
          <w:szCs w:val="20"/>
          <w:lang w:eastAsia="pt-BR"/>
        </w:rPr>
        <w:t xml:space="preserve"> </w:t>
      </w:r>
      <w:hyperlink r:id="rId11" w:history="1">
        <w:r w:rsidR="00222974" w:rsidRPr="00222974">
          <w:rPr>
            <w:rStyle w:val="Hyperlink"/>
            <w:rFonts w:ascii="Arial" w:hAnsi="Arial" w:cs="Arial"/>
            <w:sz w:val="20"/>
            <w:szCs w:val="20"/>
          </w:rPr>
          <w:t>Auditoria Operacional e Ambiental em Unidades de Conservação Estaduais no Estado Amazonas</w:t>
        </w:r>
      </w:hyperlink>
      <w:r w:rsidR="00222974" w:rsidRPr="009B5154">
        <w:rPr>
          <w:rFonts w:ascii="Arial" w:hAnsi="Arial" w:cs="Arial"/>
          <w:b/>
          <w:sz w:val="20"/>
          <w:szCs w:val="20"/>
        </w:rPr>
        <w:t>.</w:t>
      </w:r>
    </w:p>
    <w:p w:rsidR="004504C9" w:rsidRDefault="004504C9" w:rsidP="00222974">
      <w:pPr>
        <w:spacing w:after="0"/>
        <w:jc w:val="both"/>
        <w:rPr>
          <w:rFonts w:ascii="Arial" w:hAnsi="Arial" w:cs="Arial"/>
          <w:b/>
          <w:sz w:val="20"/>
          <w:szCs w:val="20"/>
        </w:rPr>
      </w:pPr>
    </w:p>
    <w:p w:rsidR="004504C9" w:rsidRDefault="004504C9" w:rsidP="00222974">
      <w:pPr>
        <w:spacing w:after="0"/>
        <w:jc w:val="both"/>
        <w:rPr>
          <w:rFonts w:ascii="Arial" w:hAnsi="Arial" w:cs="Arial"/>
          <w:b/>
          <w:sz w:val="20"/>
          <w:szCs w:val="20"/>
        </w:rPr>
      </w:pPr>
      <w:r>
        <w:rPr>
          <w:rFonts w:ascii="Arial" w:hAnsi="Arial" w:cs="Arial"/>
          <w:b/>
          <w:sz w:val="20"/>
          <w:szCs w:val="20"/>
        </w:rPr>
        <w:t xml:space="preserve">Acesse também: </w:t>
      </w:r>
      <w:hyperlink r:id="rId12" w:history="1">
        <w:r w:rsidRPr="004504C9">
          <w:rPr>
            <w:rStyle w:val="Hyperlink"/>
            <w:rFonts w:ascii="Arial" w:hAnsi="Arial" w:cs="Arial"/>
            <w:sz w:val="20"/>
            <w:szCs w:val="20"/>
          </w:rPr>
          <w:t>TCE e UEA se unem para ampliar auditorias ambientais</w:t>
        </w:r>
      </w:hyperlink>
      <w:r>
        <w:rPr>
          <w:rFonts w:ascii="Arial" w:hAnsi="Arial" w:cs="Arial"/>
          <w:b/>
          <w:sz w:val="20"/>
          <w:szCs w:val="20"/>
        </w:rPr>
        <w:t xml:space="preserve"> </w:t>
      </w:r>
      <w:r w:rsidRPr="001C214F">
        <w:rPr>
          <w:rFonts w:ascii="Arial" w:hAnsi="Arial" w:cs="Arial"/>
          <w:sz w:val="20"/>
          <w:szCs w:val="20"/>
        </w:rPr>
        <w:t>e</w:t>
      </w:r>
      <w:r>
        <w:rPr>
          <w:rFonts w:ascii="Arial" w:hAnsi="Arial" w:cs="Arial"/>
          <w:b/>
          <w:sz w:val="20"/>
          <w:szCs w:val="20"/>
        </w:rPr>
        <w:t xml:space="preserve"> </w:t>
      </w:r>
      <w:hyperlink r:id="rId13" w:history="1">
        <w:r w:rsidR="001C214F" w:rsidRPr="001C214F">
          <w:rPr>
            <w:rStyle w:val="Hyperlink"/>
            <w:rFonts w:ascii="Arial" w:hAnsi="Arial" w:cs="Arial"/>
            <w:sz w:val="20"/>
            <w:szCs w:val="20"/>
          </w:rPr>
          <w:t>Africanos vêm ao TCE-AM entender como se faz auditorias ambientais</w:t>
        </w:r>
      </w:hyperlink>
      <w:r w:rsidR="001C214F">
        <w:rPr>
          <w:rFonts w:ascii="Arial" w:hAnsi="Arial" w:cs="Arial"/>
          <w:b/>
          <w:sz w:val="20"/>
          <w:szCs w:val="20"/>
        </w:rPr>
        <w:t xml:space="preserve">. </w:t>
      </w:r>
    </w:p>
    <w:p w:rsidR="00F120F5" w:rsidRDefault="00F120F5" w:rsidP="00222974">
      <w:pPr>
        <w:spacing w:after="0"/>
        <w:jc w:val="both"/>
        <w:rPr>
          <w:rFonts w:ascii="Arial" w:hAnsi="Arial" w:cs="Arial"/>
          <w:b/>
          <w:sz w:val="20"/>
          <w:szCs w:val="20"/>
        </w:rPr>
      </w:pPr>
    </w:p>
    <w:p w:rsidR="00F120F5" w:rsidRPr="00F120F5" w:rsidRDefault="00F120F5" w:rsidP="00222974">
      <w:pPr>
        <w:spacing w:after="0"/>
        <w:jc w:val="both"/>
        <w:rPr>
          <w:rFonts w:ascii="Arial" w:hAnsi="Arial" w:cs="Arial"/>
          <w:b/>
          <w:sz w:val="20"/>
          <w:szCs w:val="20"/>
        </w:rPr>
      </w:pPr>
      <w:r>
        <w:rPr>
          <w:rFonts w:ascii="Arial" w:hAnsi="Arial" w:cs="Arial"/>
          <w:b/>
          <w:sz w:val="20"/>
          <w:szCs w:val="20"/>
        </w:rPr>
        <w:t xml:space="preserve">* </w:t>
      </w:r>
      <w:hyperlink r:id="rId14" w:history="1">
        <w:r w:rsidRPr="00247891">
          <w:rPr>
            <w:rStyle w:val="Hyperlink"/>
            <w:rFonts w:ascii="Arial" w:hAnsi="Arial" w:cs="Arial"/>
            <w:sz w:val="20"/>
            <w:szCs w:val="20"/>
          </w:rPr>
          <w:t>TCU e TCE-AM renovam acordo para fiscalizar Unidades de Conversação na Amazônia</w:t>
        </w:r>
        <w:r w:rsidR="009B0942" w:rsidRPr="00247891">
          <w:rPr>
            <w:rStyle w:val="Hyperlink"/>
            <w:rFonts w:ascii="Arial" w:hAnsi="Arial" w:cs="Arial"/>
            <w:sz w:val="20"/>
            <w:szCs w:val="20"/>
          </w:rPr>
          <w:t xml:space="preserve"> para o biênio de 2018/2019.</w:t>
        </w:r>
      </w:hyperlink>
    </w:p>
    <w:p w:rsidR="004504C9" w:rsidRDefault="004504C9" w:rsidP="00222974">
      <w:pPr>
        <w:spacing w:after="0"/>
        <w:jc w:val="both"/>
        <w:rPr>
          <w:rFonts w:ascii="Arial" w:hAnsi="Arial" w:cs="Arial"/>
          <w:b/>
          <w:sz w:val="20"/>
          <w:szCs w:val="20"/>
        </w:rPr>
      </w:pPr>
    </w:p>
    <w:p w:rsidR="006238F2" w:rsidRPr="0022060B" w:rsidRDefault="006238F2" w:rsidP="006238F2">
      <w:pPr>
        <w:shd w:val="pct10" w:color="auto" w:fill="auto"/>
        <w:spacing w:after="0"/>
        <w:jc w:val="center"/>
        <w:rPr>
          <w:rFonts w:ascii="Arial" w:hAnsi="Arial" w:cs="Arial"/>
          <w:b/>
          <w:sz w:val="20"/>
          <w:szCs w:val="20"/>
        </w:rPr>
      </w:pPr>
      <w:r>
        <w:rPr>
          <w:rFonts w:ascii="Arial" w:hAnsi="Arial" w:cs="Arial"/>
          <w:b/>
          <w:sz w:val="20"/>
          <w:szCs w:val="20"/>
        </w:rPr>
        <w:t xml:space="preserve">SUPREMO TRIBUNAL FEDERAL </w:t>
      </w:r>
    </w:p>
    <w:p w:rsidR="006238F2" w:rsidRDefault="006238F2" w:rsidP="00816942">
      <w:pPr>
        <w:spacing w:after="0"/>
        <w:jc w:val="both"/>
        <w:rPr>
          <w:rStyle w:val="Hyperlink"/>
          <w:rFonts w:ascii="Arial" w:hAnsi="Arial" w:cs="Arial"/>
          <w:b/>
          <w:color w:val="000000" w:themeColor="text1"/>
          <w:sz w:val="20"/>
          <w:szCs w:val="20"/>
          <w:u w:val="none"/>
        </w:rPr>
      </w:pPr>
    </w:p>
    <w:p w:rsidR="00397888" w:rsidRDefault="00397888" w:rsidP="008237E5">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5. Conclusão do julgamento conjunto de ações diretas de inconstitucionalidade e de ação declaratória de constitucionalidade em que se discute diversos dispositivos do Código Florestal (Lei n° 12.651/2012).</w:t>
      </w:r>
    </w:p>
    <w:p w:rsidR="00BC623F" w:rsidRDefault="00BC623F" w:rsidP="008237E5">
      <w:pPr>
        <w:spacing w:after="0"/>
        <w:jc w:val="both"/>
        <w:rPr>
          <w:rStyle w:val="Hyperlink"/>
          <w:rFonts w:ascii="Arial" w:hAnsi="Arial" w:cs="Arial"/>
          <w:b/>
          <w:color w:val="000000" w:themeColor="text1"/>
          <w:sz w:val="20"/>
          <w:szCs w:val="20"/>
          <w:u w:val="none"/>
        </w:rPr>
      </w:pPr>
    </w:p>
    <w:p w:rsidR="00BC623F" w:rsidRDefault="00BC623F" w:rsidP="008237E5">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O Supremo Tribunal Federal analisou a constitucionalidade do Código Florestal (Lei n° 12.651/20012) e decidiu:</w:t>
      </w:r>
    </w:p>
    <w:p w:rsidR="00BC623F" w:rsidRDefault="00BC623F" w:rsidP="008237E5">
      <w:pPr>
        <w:spacing w:after="0"/>
        <w:jc w:val="both"/>
        <w:rPr>
          <w:rStyle w:val="Hyperlink"/>
          <w:rFonts w:ascii="Arial" w:hAnsi="Arial" w:cs="Arial"/>
          <w:color w:val="000000" w:themeColor="text1"/>
          <w:sz w:val="20"/>
          <w:szCs w:val="20"/>
          <w:u w:val="none"/>
        </w:rPr>
      </w:pPr>
    </w:p>
    <w:p w:rsidR="00346440" w:rsidRDefault="00BC623F" w:rsidP="008237E5">
      <w:pPr>
        <w:spacing w:after="0"/>
        <w:jc w:val="both"/>
        <w:rPr>
          <w:rFonts w:ascii="Arial" w:hAnsi="Arial" w:cs="Arial"/>
          <w:sz w:val="20"/>
          <w:szCs w:val="20"/>
          <w:shd w:val="clear" w:color="auto" w:fill="FFFFFF"/>
        </w:rPr>
      </w:pPr>
      <w:r>
        <w:rPr>
          <w:rStyle w:val="Hyperlink"/>
          <w:rFonts w:ascii="Arial" w:hAnsi="Arial" w:cs="Arial"/>
          <w:color w:val="000000" w:themeColor="text1"/>
          <w:sz w:val="20"/>
          <w:szCs w:val="20"/>
          <w:u w:val="none"/>
        </w:rPr>
        <w:t xml:space="preserve">1) </w:t>
      </w:r>
      <w:r w:rsidRPr="00085848">
        <w:rPr>
          <w:rFonts w:ascii="Arial" w:hAnsi="Arial" w:cs="Arial"/>
          <w:sz w:val="20"/>
          <w:szCs w:val="20"/>
          <w:shd w:val="clear" w:color="auto" w:fill="FFFFFF"/>
        </w:rPr>
        <w:t>declarar a inconstitucionalidade das expressões “gestão de resíduos” e “instalações necessárias à realização de competições esportivas estaduais, nacionais ou internacionais”, contidas no art. 3º, VIII</w:t>
      </w:r>
      <w:r>
        <w:rPr>
          <w:rFonts w:ascii="Arial" w:hAnsi="Arial" w:cs="Arial"/>
          <w:sz w:val="20"/>
          <w:szCs w:val="20"/>
          <w:shd w:val="clear" w:color="auto" w:fill="FFFFFF"/>
        </w:rPr>
        <w:t>;</w:t>
      </w:r>
    </w:p>
    <w:p w:rsidR="00BC623F" w:rsidRDefault="00BC623F" w:rsidP="008237E5">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p>
    <w:p w:rsidR="00BC623F" w:rsidRDefault="00BC623F" w:rsidP="008237E5">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Pr="00085848">
        <w:rPr>
          <w:rFonts w:ascii="Arial" w:hAnsi="Arial" w:cs="Arial"/>
          <w:sz w:val="20"/>
          <w:szCs w:val="20"/>
          <w:shd w:val="clear" w:color="auto" w:fill="FFFFFF"/>
        </w:rPr>
        <w:t>dar interpretação conforme a Constituição ao art. 3º, VIII e IX, de modo a se condicionar a intervenção excepcional em APP, por interesse social ou utilidade pública, à inexistência de alternativa técnica e/ou locacional à atividade proposta</w:t>
      </w:r>
      <w:r>
        <w:rPr>
          <w:rFonts w:ascii="Arial" w:hAnsi="Arial" w:cs="Arial"/>
          <w:sz w:val="20"/>
          <w:szCs w:val="20"/>
          <w:shd w:val="clear" w:color="auto" w:fill="FFFFFF"/>
        </w:rPr>
        <w:t xml:space="preserve">; </w:t>
      </w:r>
    </w:p>
    <w:p w:rsidR="00BC623F" w:rsidRDefault="000B5C6A" w:rsidP="008237E5">
      <w:pPr>
        <w:spacing w:after="0"/>
        <w:jc w:val="both"/>
        <w:rPr>
          <w:rFonts w:ascii="Arial" w:hAnsi="Arial" w:cs="Arial"/>
          <w:sz w:val="20"/>
          <w:szCs w:val="20"/>
        </w:rPr>
      </w:pPr>
      <w:r w:rsidRPr="000B5C6A">
        <w:rPr>
          <w:rFonts w:ascii="Arial" w:hAnsi="Arial" w:cs="Arial"/>
          <w:sz w:val="20"/>
          <w:szCs w:val="20"/>
        </w:rPr>
        <w:br/>
      </w:r>
      <w:r w:rsidR="00BC623F">
        <w:rPr>
          <w:rFonts w:ascii="Arial" w:hAnsi="Arial" w:cs="Arial"/>
          <w:sz w:val="20"/>
          <w:szCs w:val="20"/>
        </w:rPr>
        <w:t xml:space="preserve">3) </w:t>
      </w:r>
      <w:r w:rsidR="00BC623F" w:rsidRPr="00085848">
        <w:rPr>
          <w:rFonts w:ascii="Arial" w:hAnsi="Arial" w:cs="Arial"/>
          <w:sz w:val="20"/>
          <w:szCs w:val="20"/>
          <w:shd w:val="clear" w:color="auto" w:fill="FFFFFF"/>
        </w:rPr>
        <w:t>dar interpretação conforme</w:t>
      </w:r>
      <w:r w:rsidR="00BC623F">
        <w:rPr>
          <w:rFonts w:ascii="Arial" w:hAnsi="Arial" w:cs="Arial"/>
          <w:sz w:val="20"/>
          <w:szCs w:val="20"/>
          <w:shd w:val="clear" w:color="auto" w:fill="FFFFFF"/>
        </w:rPr>
        <w:t xml:space="preserve"> a Constituição ao art. 3°, XVII e </w:t>
      </w:r>
      <w:r w:rsidR="00BC623F" w:rsidRPr="00085848">
        <w:rPr>
          <w:rFonts w:ascii="Arial" w:hAnsi="Arial" w:cs="Arial"/>
          <w:sz w:val="20"/>
          <w:szCs w:val="20"/>
          <w:shd w:val="clear" w:color="auto" w:fill="FFFFFF"/>
        </w:rPr>
        <w:t>ao art. 4º, IV, para fixar a interpretação de que os entornos das nascentes e dos olhos d’água intermitentes configuram área de preservação ambiental</w:t>
      </w:r>
      <w:r w:rsidR="00BC623F">
        <w:rPr>
          <w:rFonts w:ascii="Arial" w:hAnsi="Arial" w:cs="Arial"/>
          <w:sz w:val="20"/>
          <w:szCs w:val="20"/>
          <w:shd w:val="clear" w:color="auto" w:fill="FFFFFF"/>
        </w:rPr>
        <w:t xml:space="preserve"> permanente; </w:t>
      </w:r>
    </w:p>
    <w:p w:rsidR="00BC623F" w:rsidRDefault="00BC623F" w:rsidP="008237E5">
      <w:pPr>
        <w:spacing w:after="0"/>
        <w:jc w:val="both"/>
        <w:rPr>
          <w:rFonts w:ascii="Arial" w:hAnsi="Arial" w:cs="Arial"/>
          <w:sz w:val="20"/>
          <w:szCs w:val="20"/>
        </w:rPr>
      </w:pPr>
    </w:p>
    <w:p w:rsidR="00BC623F" w:rsidRDefault="00BC623F" w:rsidP="008237E5">
      <w:pPr>
        <w:spacing w:after="0"/>
        <w:jc w:val="both"/>
        <w:rPr>
          <w:rFonts w:ascii="Arial" w:hAnsi="Arial" w:cs="Arial"/>
          <w:sz w:val="20"/>
          <w:szCs w:val="20"/>
        </w:rPr>
      </w:pPr>
      <w:r>
        <w:rPr>
          <w:rFonts w:ascii="Arial" w:hAnsi="Arial" w:cs="Arial"/>
          <w:sz w:val="20"/>
          <w:szCs w:val="20"/>
        </w:rPr>
        <w:t xml:space="preserve">4) </w:t>
      </w:r>
      <w:r w:rsidRPr="00085848">
        <w:rPr>
          <w:rFonts w:ascii="Arial" w:hAnsi="Arial" w:cs="Arial"/>
          <w:sz w:val="20"/>
          <w:szCs w:val="20"/>
          <w:shd w:val="clear" w:color="auto" w:fill="FFFFFF"/>
        </w:rPr>
        <w:t>declarar a inconstitucionalidade das expressões “demarcadas” e “tituladas”, contidas no art. 3º, parágrafo único</w:t>
      </w:r>
      <w:r>
        <w:rPr>
          <w:rFonts w:ascii="Arial" w:hAnsi="Arial" w:cs="Arial"/>
          <w:sz w:val="20"/>
          <w:szCs w:val="20"/>
          <w:shd w:val="clear" w:color="auto" w:fill="FFFFFF"/>
        </w:rPr>
        <w:t xml:space="preserve">; </w:t>
      </w:r>
    </w:p>
    <w:p w:rsidR="00BC623F" w:rsidRDefault="00BC623F" w:rsidP="008237E5">
      <w:pPr>
        <w:spacing w:after="0"/>
        <w:jc w:val="both"/>
        <w:rPr>
          <w:rFonts w:ascii="Arial" w:hAnsi="Arial" w:cs="Arial"/>
          <w:sz w:val="20"/>
          <w:szCs w:val="20"/>
        </w:rPr>
      </w:pPr>
    </w:p>
    <w:p w:rsidR="00BC623F" w:rsidRDefault="00BC623F" w:rsidP="008237E5">
      <w:pPr>
        <w:spacing w:after="0"/>
        <w:jc w:val="both"/>
        <w:rPr>
          <w:rFonts w:ascii="Arial" w:hAnsi="Arial" w:cs="Arial"/>
          <w:sz w:val="20"/>
          <w:szCs w:val="20"/>
        </w:rPr>
      </w:pPr>
      <w:r>
        <w:rPr>
          <w:rFonts w:ascii="Arial" w:hAnsi="Arial" w:cs="Arial"/>
          <w:sz w:val="20"/>
          <w:szCs w:val="20"/>
        </w:rPr>
        <w:t>5) dar interpretação conforme a Constituição ao art. 48, § 2°, para permitir compensação apenas entre áreas com identidade ecológica;</w:t>
      </w:r>
    </w:p>
    <w:p w:rsidR="00910342" w:rsidRDefault="00910342" w:rsidP="008237E5">
      <w:pPr>
        <w:spacing w:after="0"/>
        <w:jc w:val="both"/>
        <w:rPr>
          <w:rFonts w:ascii="Arial" w:hAnsi="Arial" w:cs="Arial"/>
          <w:sz w:val="20"/>
          <w:szCs w:val="20"/>
        </w:rPr>
      </w:pPr>
    </w:p>
    <w:p w:rsidR="00910342" w:rsidRDefault="00910342" w:rsidP="008237E5">
      <w:pPr>
        <w:spacing w:after="0"/>
        <w:jc w:val="both"/>
        <w:rPr>
          <w:rFonts w:ascii="Arial" w:hAnsi="Arial" w:cs="Arial"/>
          <w:sz w:val="20"/>
          <w:szCs w:val="20"/>
        </w:rPr>
      </w:pPr>
      <w:r>
        <w:rPr>
          <w:rFonts w:ascii="Arial" w:hAnsi="Arial" w:cs="Arial"/>
          <w:sz w:val="20"/>
          <w:szCs w:val="20"/>
        </w:rPr>
        <w:t>6) dar interpretação conforme a Constituição ao art. 59, §4° e 5°, de modo a afastar, no decurso da execução dos termos de compromisso subscritos nos programas de regularização ambiental, o risco de decadência ou prescrição, seja dos ilícitos ambientais publicados antes de 22.7.2008, seja das sanções deles decorrentes, aplicando-se extensivamente o disposto no § 1° do art. 60 da Lei n° 12.651/2012, segundo o qual “a prescrição ficará interrompida durante o período de suspensão da pretensão punitiva”.</w:t>
      </w:r>
    </w:p>
    <w:p w:rsidR="00910342" w:rsidRDefault="00910342" w:rsidP="008237E5">
      <w:pPr>
        <w:spacing w:after="0"/>
        <w:jc w:val="both"/>
        <w:rPr>
          <w:rFonts w:ascii="Arial" w:hAnsi="Arial" w:cs="Arial"/>
          <w:sz w:val="20"/>
          <w:szCs w:val="20"/>
        </w:rPr>
      </w:pPr>
      <w:r>
        <w:rPr>
          <w:rFonts w:ascii="Arial" w:hAnsi="Arial" w:cs="Arial"/>
          <w:sz w:val="20"/>
          <w:szCs w:val="20"/>
        </w:rPr>
        <w:t xml:space="preserve"> </w:t>
      </w:r>
    </w:p>
    <w:p w:rsidR="00397888" w:rsidRPr="000B5C6A" w:rsidRDefault="00C24EDC" w:rsidP="008237E5">
      <w:pPr>
        <w:spacing w:after="0"/>
        <w:jc w:val="both"/>
        <w:rPr>
          <w:rStyle w:val="Hyperlink"/>
          <w:rFonts w:ascii="Arial" w:hAnsi="Arial" w:cs="Arial"/>
          <w:b/>
          <w:color w:val="auto"/>
          <w:sz w:val="20"/>
          <w:szCs w:val="20"/>
          <w:u w:val="none"/>
        </w:rPr>
      </w:pPr>
      <w:r>
        <w:rPr>
          <w:rFonts w:ascii="Arial" w:hAnsi="Arial" w:cs="Arial"/>
          <w:sz w:val="20"/>
          <w:szCs w:val="20"/>
        </w:rPr>
        <w:t>Os demais dispositivos legais questionados via controle concentrado foram reputados constitucionais.</w:t>
      </w:r>
      <w:r w:rsidR="000B5C6A" w:rsidRPr="000B5C6A">
        <w:rPr>
          <w:rFonts w:ascii="Arial" w:hAnsi="Arial" w:cs="Arial"/>
          <w:sz w:val="20"/>
          <w:szCs w:val="20"/>
        </w:rPr>
        <w:br/>
      </w:r>
      <w:r w:rsidR="000B5C6A" w:rsidRPr="000B5C6A">
        <w:rPr>
          <w:rFonts w:ascii="Arial" w:hAnsi="Arial" w:cs="Arial"/>
          <w:sz w:val="20"/>
          <w:szCs w:val="20"/>
        </w:rPr>
        <w:br/>
      </w:r>
      <w:hyperlink r:id="rId15" w:history="1">
        <w:r w:rsidR="00397888" w:rsidRPr="00572404">
          <w:rPr>
            <w:rStyle w:val="Hyperlink"/>
            <w:rFonts w:ascii="Arial" w:hAnsi="Arial" w:cs="Arial"/>
            <w:sz w:val="20"/>
            <w:szCs w:val="20"/>
            <w:shd w:val="clear" w:color="auto" w:fill="FFFFFF"/>
          </w:rPr>
          <w:t xml:space="preserve">ADC 42/DF, rel. Min. Luiz </w:t>
        </w:r>
        <w:proofErr w:type="spellStart"/>
        <w:r w:rsidR="00397888" w:rsidRPr="00572404">
          <w:rPr>
            <w:rStyle w:val="Hyperlink"/>
            <w:rFonts w:ascii="Arial" w:hAnsi="Arial" w:cs="Arial"/>
            <w:sz w:val="20"/>
            <w:szCs w:val="20"/>
            <w:shd w:val="clear" w:color="auto" w:fill="FFFFFF"/>
          </w:rPr>
          <w:t>Fux</w:t>
        </w:r>
        <w:proofErr w:type="spellEnd"/>
        <w:r w:rsidR="00397888" w:rsidRPr="00572404">
          <w:rPr>
            <w:rStyle w:val="Hyperlink"/>
            <w:rFonts w:ascii="Arial" w:hAnsi="Arial" w:cs="Arial"/>
            <w:sz w:val="20"/>
            <w:szCs w:val="20"/>
            <w:shd w:val="clear" w:color="auto" w:fill="FFFFFF"/>
          </w:rPr>
          <w:t>, julgamento em 28.2.2018</w:t>
        </w:r>
      </w:hyperlink>
      <w:r w:rsidR="00397888" w:rsidRPr="00B642F5">
        <w:rPr>
          <w:rFonts w:ascii="Arial" w:hAnsi="Arial" w:cs="Arial"/>
          <w:b/>
          <w:bCs/>
          <w:sz w:val="20"/>
          <w:szCs w:val="20"/>
          <w:shd w:val="clear" w:color="auto" w:fill="FFFFFF"/>
        </w:rPr>
        <w:t>.</w:t>
      </w:r>
      <w:r w:rsidR="00397888" w:rsidRPr="00B642F5">
        <w:rPr>
          <w:rFonts w:ascii="Arial" w:hAnsi="Arial" w:cs="Arial"/>
          <w:sz w:val="20"/>
          <w:szCs w:val="20"/>
          <w:shd w:val="clear" w:color="auto" w:fill="FFFFFF"/>
        </w:rPr>
        <w:t> (ADC-42)</w:t>
      </w:r>
      <w:r w:rsidR="00397888" w:rsidRPr="00B642F5">
        <w:rPr>
          <w:rFonts w:ascii="Arial" w:hAnsi="Arial" w:cs="Arial"/>
          <w:sz w:val="20"/>
          <w:szCs w:val="20"/>
        </w:rPr>
        <w:br/>
      </w:r>
      <w:hyperlink r:id="rId16" w:history="1">
        <w:r w:rsidR="00397888" w:rsidRPr="00572404">
          <w:rPr>
            <w:rStyle w:val="Hyperlink"/>
            <w:rFonts w:ascii="Arial" w:hAnsi="Arial" w:cs="Arial"/>
            <w:sz w:val="20"/>
            <w:szCs w:val="20"/>
            <w:shd w:val="clear" w:color="auto" w:fill="FFFFFF"/>
          </w:rPr>
          <w:t xml:space="preserve">ADI 4901/DF, rel. Min. Luiz </w:t>
        </w:r>
        <w:proofErr w:type="spellStart"/>
        <w:r w:rsidR="00397888" w:rsidRPr="00572404">
          <w:rPr>
            <w:rStyle w:val="Hyperlink"/>
            <w:rFonts w:ascii="Arial" w:hAnsi="Arial" w:cs="Arial"/>
            <w:sz w:val="20"/>
            <w:szCs w:val="20"/>
            <w:shd w:val="clear" w:color="auto" w:fill="FFFFFF"/>
          </w:rPr>
          <w:t>Fux</w:t>
        </w:r>
        <w:proofErr w:type="spellEnd"/>
        <w:r w:rsidR="00397888" w:rsidRPr="00572404">
          <w:rPr>
            <w:rStyle w:val="Hyperlink"/>
            <w:rFonts w:ascii="Arial" w:hAnsi="Arial" w:cs="Arial"/>
            <w:sz w:val="20"/>
            <w:szCs w:val="20"/>
            <w:shd w:val="clear" w:color="auto" w:fill="FFFFFF"/>
          </w:rPr>
          <w:t>, julgamento em 28.2.2018</w:t>
        </w:r>
      </w:hyperlink>
      <w:r w:rsidR="00397888" w:rsidRPr="00B642F5">
        <w:rPr>
          <w:rFonts w:ascii="Arial" w:hAnsi="Arial" w:cs="Arial"/>
          <w:b/>
          <w:bCs/>
          <w:sz w:val="20"/>
          <w:szCs w:val="20"/>
          <w:shd w:val="clear" w:color="auto" w:fill="FFFFFF"/>
        </w:rPr>
        <w:t>.</w:t>
      </w:r>
      <w:r w:rsidR="00397888" w:rsidRPr="00B642F5">
        <w:rPr>
          <w:rFonts w:ascii="Arial" w:hAnsi="Arial" w:cs="Arial"/>
          <w:sz w:val="20"/>
          <w:szCs w:val="20"/>
          <w:shd w:val="clear" w:color="auto" w:fill="FFFFFF"/>
        </w:rPr>
        <w:t> (ADI-4901)</w:t>
      </w:r>
      <w:r w:rsidR="00397888" w:rsidRPr="00B642F5">
        <w:rPr>
          <w:rFonts w:ascii="Arial" w:hAnsi="Arial" w:cs="Arial"/>
          <w:sz w:val="20"/>
          <w:szCs w:val="20"/>
        </w:rPr>
        <w:br/>
      </w:r>
      <w:hyperlink r:id="rId17" w:history="1">
        <w:r w:rsidR="00397888" w:rsidRPr="00572404">
          <w:rPr>
            <w:rStyle w:val="Hyperlink"/>
            <w:rFonts w:ascii="Arial" w:hAnsi="Arial" w:cs="Arial"/>
            <w:sz w:val="20"/>
            <w:szCs w:val="20"/>
            <w:shd w:val="clear" w:color="auto" w:fill="FFFFFF"/>
          </w:rPr>
          <w:t xml:space="preserve">ADI 4902/DF, rel. Min. Luiz </w:t>
        </w:r>
        <w:proofErr w:type="spellStart"/>
        <w:r w:rsidR="00397888" w:rsidRPr="00572404">
          <w:rPr>
            <w:rStyle w:val="Hyperlink"/>
            <w:rFonts w:ascii="Arial" w:hAnsi="Arial" w:cs="Arial"/>
            <w:sz w:val="20"/>
            <w:szCs w:val="20"/>
            <w:shd w:val="clear" w:color="auto" w:fill="FFFFFF"/>
          </w:rPr>
          <w:t>Fux</w:t>
        </w:r>
        <w:proofErr w:type="spellEnd"/>
        <w:r w:rsidR="00397888" w:rsidRPr="00572404">
          <w:rPr>
            <w:rStyle w:val="Hyperlink"/>
            <w:rFonts w:ascii="Arial" w:hAnsi="Arial" w:cs="Arial"/>
            <w:sz w:val="20"/>
            <w:szCs w:val="20"/>
            <w:shd w:val="clear" w:color="auto" w:fill="FFFFFF"/>
          </w:rPr>
          <w:t>, julgamento em 28.2.2018. </w:t>
        </w:r>
      </w:hyperlink>
      <w:r w:rsidR="00397888" w:rsidRPr="00B642F5">
        <w:rPr>
          <w:rFonts w:ascii="Arial" w:hAnsi="Arial" w:cs="Arial"/>
          <w:sz w:val="20"/>
          <w:szCs w:val="20"/>
          <w:shd w:val="clear" w:color="auto" w:fill="FFFFFF"/>
        </w:rPr>
        <w:t>(ADI-4902)</w:t>
      </w:r>
      <w:r w:rsidR="00397888" w:rsidRPr="00B642F5">
        <w:rPr>
          <w:rFonts w:ascii="Arial" w:hAnsi="Arial" w:cs="Arial"/>
          <w:sz w:val="20"/>
          <w:szCs w:val="20"/>
        </w:rPr>
        <w:br/>
      </w:r>
      <w:hyperlink r:id="rId18" w:history="1">
        <w:r w:rsidR="00397888" w:rsidRPr="00572404">
          <w:rPr>
            <w:rStyle w:val="Hyperlink"/>
            <w:rFonts w:ascii="Arial" w:hAnsi="Arial" w:cs="Arial"/>
            <w:sz w:val="20"/>
            <w:szCs w:val="20"/>
            <w:shd w:val="clear" w:color="auto" w:fill="FFFFFF"/>
          </w:rPr>
          <w:t xml:space="preserve">ADI 4903/DF, rel. Min. Luiz </w:t>
        </w:r>
        <w:proofErr w:type="spellStart"/>
        <w:r w:rsidR="00397888" w:rsidRPr="00572404">
          <w:rPr>
            <w:rStyle w:val="Hyperlink"/>
            <w:rFonts w:ascii="Arial" w:hAnsi="Arial" w:cs="Arial"/>
            <w:sz w:val="20"/>
            <w:szCs w:val="20"/>
            <w:shd w:val="clear" w:color="auto" w:fill="FFFFFF"/>
          </w:rPr>
          <w:t>Fux</w:t>
        </w:r>
        <w:proofErr w:type="spellEnd"/>
        <w:r w:rsidR="00397888" w:rsidRPr="00572404">
          <w:rPr>
            <w:rStyle w:val="Hyperlink"/>
            <w:rFonts w:ascii="Arial" w:hAnsi="Arial" w:cs="Arial"/>
            <w:sz w:val="20"/>
            <w:szCs w:val="20"/>
            <w:shd w:val="clear" w:color="auto" w:fill="FFFFFF"/>
          </w:rPr>
          <w:t>, julgamento em 28.2.2018. </w:t>
        </w:r>
      </w:hyperlink>
      <w:r w:rsidR="00397888" w:rsidRPr="00B642F5">
        <w:rPr>
          <w:rFonts w:ascii="Arial" w:hAnsi="Arial" w:cs="Arial"/>
          <w:sz w:val="20"/>
          <w:szCs w:val="20"/>
          <w:shd w:val="clear" w:color="auto" w:fill="FFFFFF"/>
        </w:rPr>
        <w:t>(ADI-4903)</w:t>
      </w:r>
      <w:r w:rsidR="00397888" w:rsidRPr="00B642F5">
        <w:rPr>
          <w:rFonts w:ascii="Arial" w:hAnsi="Arial" w:cs="Arial"/>
          <w:sz w:val="20"/>
          <w:szCs w:val="20"/>
        </w:rPr>
        <w:br/>
      </w:r>
      <w:hyperlink r:id="rId19" w:history="1">
        <w:r w:rsidR="00397888" w:rsidRPr="00572404">
          <w:rPr>
            <w:rStyle w:val="Hyperlink"/>
            <w:rFonts w:ascii="Arial" w:hAnsi="Arial" w:cs="Arial"/>
            <w:sz w:val="20"/>
            <w:szCs w:val="20"/>
            <w:shd w:val="clear" w:color="auto" w:fill="FFFFFF"/>
          </w:rPr>
          <w:t xml:space="preserve">ADI 4937/DF, rel. Min. Luiz </w:t>
        </w:r>
        <w:proofErr w:type="spellStart"/>
        <w:r w:rsidR="00397888" w:rsidRPr="00572404">
          <w:rPr>
            <w:rStyle w:val="Hyperlink"/>
            <w:rFonts w:ascii="Arial" w:hAnsi="Arial" w:cs="Arial"/>
            <w:sz w:val="20"/>
            <w:szCs w:val="20"/>
            <w:shd w:val="clear" w:color="auto" w:fill="FFFFFF"/>
          </w:rPr>
          <w:t>Fux</w:t>
        </w:r>
        <w:proofErr w:type="spellEnd"/>
        <w:r w:rsidR="00397888" w:rsidRPr="00572404">
          <w:rPr>
            <w:rStyle w:val="Hyperlink"/>
            <w:rFonts w:ascii="Arial" w:hAnsi="Arial" w:cs="Arial"/>
            <w:sz w:val="20"/>
            <w:szCs w:val="20"/>
            <w:shd w:val="clear" w:color="auto" w:fill="FFFFFF"/>
          </w:rPr>
          <w:t>, julgamento em 28.2.2018. </w:t>
        </w:r>
      </w:hyperlink>
      <w:r w:rsidR="00397888" w:rsidRPr="00B642F5">
        <w:rPr>
          <w:rFonts w:ascii="Arial" w:hAnsi="Arial" w:cs="Arial"/>
          <w:sz w:val="20"/>
          <w:szCs w:val="20"/>
          <w:shd w:val="clear" w:color="auto" w:fill="FFFFFF"/>
        </w:rPr>
        <w:t>(ADI-4937)</w:t>
      </w:r>
      <w:r w:rsidR="002C6A3B">
        <w:rPr>
          <w:rFonts w:ascii="Arial" w:hAnsi="Arial" w:cs="Arial"/>
          <w:sz w:val="20"/>
          <w:szCs w:val="20"/>
          <w:shd w:val="clear" w:color="auto" w:fill="FFFFFF"/>
        </w:rPr>
        <w:t>.</w:t>
      </w:r>
    </w:p>
    <w:p w:rsidR="006238F2" w:rsidRDefault="006238F2" w:rsidP="00816942">
      <w:pPr>
        <w:spacing w:after="0"/>
        <w:jc w:val="both"/>
        <w:rPr>
          <w:rStyle w:val="Hyperlink"/>
          <w:rFonts w:ascii="Arial" w:hAnsi="Arial" w:cs="Arial"/>
          <w:b/>
          <w:color w:val="000000" w:themeColor="text1"/>
          <w:sz w:val="20"/>
          <w:szCs w:val="20"/>
          <w:u w:val="none"/>
        </w:rPr>
      </w:pPr>
    </w:p>
    <w:p w:rsidR="006238F2" w:rsidRPr="0022060B" w:rsidRDefault="006238F2" w:rsidP="006238F2">
      <w:pPr>
        <w:shd w:val="pct10" w:color="auto" w:fill="auto"/>
        <w:spacing w:after="0"/>
        <w:jc w:val="center"/>
        <w:rPr>
          <w:rFonts w:ascii="Arial" w:hAnsi="Arial" w:cs="Arial"/>
          <w:b/>
          <w:sz w:val="20"/>
          <w:szCs w:val="20"/>
        </w:rPr>
      </w:pPr>
      <w:r>
        <w:rPr>
          <w:rFonts w:ascii="Arial" w:hAnsi="Arial" w:cs="Arial"/>
          <w:b/>
          <w:sz w:val="20"/>
          <w:szCs w:val="20"/>
        </w:rPr>
        <w:t xml:space="preserve">SUPERIOR TRIBUNAL DE JUSTIÇA </w:t>
      </w:r>
    </w:p>
    <w:p w:rsidR="006238F2" w:rsidRDefault="006238F2" w:rsidP="00816942">
      <w:pPr>
        <w:spacing w:after="0"/>
        <w:jc w:val="both"/>
        <w:rPr>
          <w:rStyle w:val="Hyperlink"/>
          <w:rFonts w:ascii="Arial" w:hAnsi="Arial" w:cs="Arial"/>
          <w:b/>
          <w:color w:val="000000" w:themeColor="text1"/>
          <w:sz w:val="20"/>
          <w:szCs w:val="20"/>
          <w:u w:val="none"/>
        </w:rPr>
      </w:pPr>
    </w:p>
    <w:p w:rsidR="00925A59" w:rsidRDefault="007100B5" w:rsidP="00925A59">
      <w:pPr>
        <w:spacing w:after="0"/>
        <w:jc w:val="both"/>
        <w:rPr>
          <w:rStyle w:val="Hyperlink"/>
          <w:rFonts w:ascii="Arial" w:hAnsi="Arial" w:cs="Arial"/>
          <w:b/>
          <w:color w:val="auto"/>
          <w:sz w:val="20"/>
          <w:szCs w:val="20"/>
          <w:u w:val="none"/>
        </w:rPr>
      </w:pPr>
      <w:r>
        <w:rPr>
          <w:rStyle w:val="Hyperlink"/>
          <w:rFonts w:ascii="Arial" w:hAnsi="Arial" w:cs="Arial"/>
          <w:b/>
          <w:color w:val="auto"/>
          <w:sz w:val="20"/>
          <w:szCs w:val="20"/>
          <w:u w:val="none"/>
        </w:rPr>
        <w:t xml:space="preserve">6. </w:t>
      </w:r>
      <w:r w:rsidR="00925A59" w:rsidRPr="00925A59">
        <w:rPr>
          <w:rStyle w:val="Hyperlink"/>
          <w:rFonts w:ascii="Arial" w:hAnsi="Arial" w:cs="Arial"/>
          <w:b/>
          <w:color w:val="auto"/>
          <w:sz w:val="20"/>
          <w:szCs w:val="20"/>
          <w:u w:val="none"/>
        </w:rPr>
        <w:t>Adm</w:t>
      </w:r>
      <w:r w:rsidR="00925A59">
        <w:rPr>
          <w:rStyle w:val="Hyperlink"/>
          <w:rFonts w:ascii="Arial" w:hAnsi="Arial" w:cs="Arial"/>
          <w:b/>
          <w:color w:val="auto"/>
          <w:sz w:val="20"/>
          <w:szCs w:val="20"/>
          <w:u w:val="none"/>
        </w:rPr>
        <w:t>inistrativo. Agravo Interno no Recurso E</w:t>
      </w:r>
      <w:r w:rsidR="00F74FDD">
        <w:rPr>
          <w:rStyle w:val="Hyperlink"/>
          <w:rFonts w:ascii="Arial" w:hAnsi="Arial" w:cs="Arial"/>
          <w:b/>
          <w:color w:val="auto"/>
          <w:sz w:val="20"/>
          <w:szCs w:val="20"/>
          <w:u w:val="none"/>
        </w:rPr>
        <w:t>special. Ambiental. Ação Civil Pública. Dano Ambiental e U</w:t>
      </w:r>
      <w:r w:rsidR="00925A59">
        <w:rPr>
          <w:rStyle w:val="Hyperlink"/>
          <w:rFonts w:ascii="Arial" w:hAnsi="Arial" w:cs="Arial"/>
          <w:b/>
          <w:color w:val="auto"/>
          <w:sz w:val="20"/>
          <w:szCs w:val="20"/>
          <w:u w:val="none"/>
        </w:rPr>
        <w:t>rbanístico. Construç</w:t>
      </w:r>
      <w:r w:rsidR="00925A59" w:rsidRPr="00925A59">
        <w:rPr>
          <w:rStyle w:val="Hyperlink"/>
          <w:rFonts w:ascii="Arial" w:hAnsi="Arial" w:cs="Arial"/>
          <w:b/>
          <w:color w:val="auto"/>
          <w:sz w:val="20"/>
          <w:szCs w:val="20"/>
          <w:u w:val="none"/>
        </w:rPr>
        <w:t>ões irregulares. Dever de fiscalização. Omis</w:t>
      </w:r>
      <w:r w:rsidR="00F74FDD">
        <w:rPr>
          <w:rStyle w:val="Hyperlink"/>
          <w:rFonts w:ascii="Arial" w:hAnsi="Arial" w:cs="Arial"/>
          <w:b/>
          <w:color w:val="auto"/>
          <w:sz w:val="20"/>
          <w:szCs w:val="20"/>
          <w:u w:val="none"/>
        </w:rPr>
        <w:t>são. Responsabilidade C</w:t>
      </w:r>
      <w:r w:rsidR="00925A59">
        <w:rPr>
          <w:rStyle w:val="Hyperlink"/>
          <w:rFonts w:ascii="Arial" w:hAnsi="Arial" w:cs="Arial"/>
          <w:b/>
          <w:color w:val="auto"/>
          <w:sz w:val="20"/>
          <w:szCs w:val="20"/>
          <w:u w:val="none"/>
        </w:rPr>
        <w:t>ivil do E</w:t>
      </w:r>
      <w:r w:rsidR="00925A59" w:rsidRPr="00925A59">
        <w:rPr>
          <w:rStyle w:val="Hyperlink"/>
          <w:rFonts w:ascii="Arial" w:hAnsi="Arial" w:cs="Arial"/>
          <w:b/>
          <w:color w:val="auto"/>
          <w:sz w:val="20"/>
          <w:szCs w:val="20"/>
          <w:u w:val="none"/>
        </w:rPr>
        <w:t>stado. Caráter solidário, mas de execução subsidiária. Precedentes.</w:t>
      </w:r>
    </w:p>
    <w:p w:rsidR="00925A59" w:rsidRPr="00925A59" w:rsidRDefault="00925A59" w:rsidP="00925A59">
      <w:pPr>
        <w:spacing w:after="0"/>
        <w:jc w:val="both"/>
        <w:rPr>
          <w:rStyle w:val="Hyperlink"/>
          <w:rFonts w:ascii="Arial" w:hAnsi="Arial" w:cs="Arial"/>
          <w:b/>
          <w:color w:val="auto"/>
          <w:sz w:val="20"/>
          <w:szCs w:val="20"/>
          <w:u w:val="none"/>
        </w:rPr>
      </w:pPr>
    </w:p>
    <w:p w:rsidR="00925A59" w:rsidRPr="00F74FDD" w:rsidRDefault="00925A59" w:rsidP="00925A59">
      <w:pPr>
        <w:spacing w:after="0"/>
        <w:jc w:val="both"/>
        <w:rPr>
          <w:rStyle w:val="Hyperlink"/>
          <w:rFonts w:ascii="Arial" w:hAnsi="Arial" w:cs="Arial"/>
          <w:color w:val="auto"/>
          <w:sz w:val="20"/>
          <w:szCs w:val="20"/>
          <w:u w:val="none"/>
        </w:rPr>
      </w:pPr>
      <w:r w:rsidRPr="00F74FDD">
        <w:rPr>
          <w:rStyle w:val="Hyperlink"/>
          <w:rFonts w:ascii="Arial" w:hAnsi="Arial" w:cs="Arial"/>
          <w:color w:val="auto"/>
          <w:sz w:val="20"/>
          <w:szCs w:val="20"/>
          <w:u w:val="none"/>
        </w:rPr>
        <w:lastRenderedPageBreak/>
        <w:t>1. A responsabilidade do Estado por dano ao meio ambiente decorrente de sua omissão no dever de fiscalização é de caráter solidário, mas de execução subsidiária, na condição de devedor-reserva.</w:t>
      </w:r>
      <w:r w:rsidR="0075376E">
        <w:rPr>
          <w:rStyle w:val="Hyperlink"/>
          <w:rFonts w:ascii="Arial" w:hAnsi="Arial" w:cs="Arial"/>
          <w:color w:val="auto"/>
          <w:sz w:val="20"/>
          <w:szCs w:val="20"/>
          <w:u w:val="none"/>
        </w:rPr>
        <w:t xml:space="preserve"> </w:t>
      </w:r>
      <w:r w:rsidRPr="00F74FDD">
        <w:rPr>
          <w:rStyle w:val="Hyperlink"/>
          <w:rFonts w:ascii="Arial" w:hAnsi="Arial" w:cs="Arial"/>
          <w:color w:val="auto"/>
          <w:sz w:val="20"/>
          <w:szCs w:val="20"/>
          <w:u w:val="none"/>
        </w:rPr>
        <w:t>Precedentes.</w:t>
      </w:r>
    </w:p>
    <w:p w:rsidR="00925A59" w:rsidRPr="00F74FDD" w:rsidRDefault="00925A59" w:rsidP="00925A59">
      <w:pPr>
        <w:spacing w:after="0"/>
        <w:jc w:val="both"/>
        <w:rPr>
          <w:rStyle w:val="Hyperlink"/>
          <w:rFonts w:ascii="Arial" w:hAnsi="Arial" w:cs="Arial"/>
          <w:color w:val="auto"/>
          <w:sz w:val="20"/>
          <w:szCs w:val="20"/>
          <w:u w:val="none"/>
        </w:rPr>
      </w:pPr>
    </w:p>
    <w:p w:rsidR="00925A59" w:rsidRPr="00F74FDD" w:rsidRDefault="00925A59" w:rsidP="00925A59">
      <w:pPr>
        <w:spacing w:after="0"/>
        <w:jc w:val="both"/>
        <w:rPr>
          <w:rStyle w:val="Hyperlink"/>
          <w:rFonts w:ascii="Arial" w:hAnsi="Arial" w:cs="Arial"/>
          <w:color w:val="auto"/>
          <w:sz w:val="20"/>
          <w:szCs w:val="20"/>
          <w:u w:val="none"/>
        </w:rPr>
      </w:pPr>
      <w:r w:rsidRPr="00F74FDD">
        <w:rPr>
          <w:rStyle w:val="Hyperlink"/>
          <w:rFonts w:ascii="Arial" w:hAnsi="Arial" w:cs="Arial"/>
          <w:color w:val="auto"/>
          <w:sz w:val="20"/>
          <w:szCs w:val="20"/>
          <w:u w:val="none"/>
        </w:rPr>
        <w:t>2. Há responsabilidade do Estado ainda que, por meios apenas indiretos, contribua para a consolidação, agravamento ou perpetuação dos danos experimentados pela sociedade. Hipótese que não se confunde com a situação de garantidor universal.</w:t>
      </w:r>
    </w:p>
    <w:p w:rsidR="00925A59" w:rsidRPr="00F74FDD" w:rsidRDefault="00925A59" w:rsidP="00925A59">
      <w:pPr>
        <w:spacing w:after="0"/>
        <w:jc w:val="both"/>
        <w:rPr>
          <w:rStyle w:val="Hyperlink"/>
          <w:rFonts w:ascii="Arial" w:hAnsi="Arial" w:cs="Arial"/>
          <w:color w:val="auto"/>
          <w:sz w:val="20"/>
          <w:szCs w:val="20"/>
          <w:u w:val="none"/>
        </w:rPr>
      </w:pPr>
    </w:p>
    <w:p w:rsidR="00925A59" w:rsidRPr="00F74FDD" w:rsidRDefault="00925A59" w:rsidP="00925A59">
      <w:pPr>
        <w:spacing w:after="0"/>
        <w:jc w:val="both"/>
        <w:rPr>
          <w:rStyle w:val="Hyperlink"/>
          <w:rFonts w:ascii="Arial" w:hAnsi="Arial" w:cs="Arial"/>
          <w:color w:val="auto"/>
          <w:sz w:val="20"/>
          <w:szCs w:val="20"/>
          <w:u w:val="none"/>
        </w:rPr>
      </w:pPr>
      <w:r w:rsidRPr="00F74FDD">
        <w:rPr>
          <w:rStyle w:val="Hyperlink"/>
          <w:rFonts w:ascii="Arial" w:hAnsi="Arial" w:cs="Arial"/>
          <w:color w:val="auto"/>
          <w:sz w:val="20"/>
          <w:szCs w:val="20"/>
          <w:u w:val="none"/>
        </w:rPr>
        <w:t>3. No caso dos autos, ainda que o acórdão recorrido tenha entendido pela inexistência de omissão específica, os fatos narrados apontam para o nexo claro entre a conduta do Estado e o dano, constituído pela edição de normativos e alvarás autorizando as construções violadoras do meio ambiente e não implementação das medidas repressivas às obras irregulares especificadas em lei local. Ressalte-se, os danos permanecem sendo experimentados pela comunidade há mais de duas décadas e foram declarados pelo próprio ente público como notórios.</w:t>
      </w:r>
    </w:p>
    <w:p w:rsidR="00925A59" w:rsidRPr="00F74FDD" w:rsidRDefault="00925A59" w:rsidP="00925A59">
      <w:pPr>
        <w:spacing w:after="0"/>
        <w:jc w:val="both"/>
        <w:rPr>
          <w:rStyle w:val="Hyperlink"/>
          <w:rFonts w:ascii="Arial" w:hAnsi="Arial" w:cs="Arial"/>
          <w:color w:val="auto"/>
          <w:sz w:val="20"/>
          <w:szCs w:val="20"/>
          <w:u w:val="none"/>
        </w:rPr>
      </w:pPr>
    </w:p>
    <w:p w:rsidR="00925A59" w:rsidRPr="00F74FDD" w:rsidRDefault="00925A59" w:rsidP="00925A59">
      <w:pPr>
        <w:spacing w:after="0"/>
        <w:jc w:val="both"/>
        <w:rPr>
          <w:rStyle w:val="Hyperlink"/>
          <w:rFonts w:ascii="Arial" w:hAnsi="Arial" w:cs="Arial"/>
          <w:color w:val="auto"/>
          <w:sz w:val="20"/>
          <w:szCs w:val="20"/>
          <w:u w:val="none"/>
        </w:rPr>
      </w:pPr>
      <w:r w:rsidRPr="00F74FDD">
        <w:rPr>
          <w:rStyle w:val="Hyperlink"/>
          <w:rFonts w:ascii="Arial" w:hAnsi="Arial" w:cs="Arial"/>
          <w:color w:val="auto"/>
          <w:sz w:val="20"/>
          <w:szCs w:val="20"/>
          <w:u w:val="none"/>
        </w:rPr>
        <w:t>4. O reconhecimento da responsabilização solidária de execução subsidiária enseja que o Estado somente seja acionado para cumprimento da obrigação de demolição das construções irregulares após a devida demonstração de absoluta impossibilidade ou incapacidade de cumprimento da medida pelos demais réus, diretamente causadores dos danos, e, ainda, sem prejuízo de ação regressiva contra os agentes públicos ou particulares responsáveis.</w:t>
      </w:r>
    </w:p>
    <w:p w:rsidR="00925A59" w:rsidRPr="00F74FDD" w:rsidRDefault="00925A59" w:rsidP="00925A59">
      <w:pPr>
        <w:spacing w:after="0"/>
        <w:jc w:val="both"/>
        <w:rPr>
          <w:rStyle w:val="Hyperlink"/>
          <w:rFonts w:ascii="Arial" w:hAnsi="Arial" w:cs="Arial"/>
          <w:color w:val="auto"/>
          <w:sz w:val="20"/>
          <w:szCs w:val="20"/>
          <w:u w:val="none"/>
        </w:rPr>
      </w:pPr>
    </w:p>
    <w:p w:rsidR="00925A59" w:rsidRPr="00F74FDD" w:rsidRDefault="00925A59" w:rsidP="00925A59">
      <w:pPr>
        <w:spacing w:after="0"/>
        <w:jc w:val="both"/>
        <w:rPr>
          <w:rStyle w:val="Hyperlink"/>
          <w:rFonts w:ascii="Arial" w:hAnsi="Arial" w:cs="Arial"/>
          <w:color w:val="auto"/>
          <w:sz w:val="20"/>
          <w:szCs w:val="20"/>
          <w:u w:val="none"/>
        </w:rPr>
      </w:pPr>
      <w:r w:rsidRPr="00F74FDD">
        <w:rPr>
          <w:rStyle w:val="Hyperlink"/>
          <w:rFonts w:ascii="Arial" w:hAnsi="Arial" w:cs="Arial"/>
          <w:color w:val="auto"/>
          <w:sz w:val="20"/>
          <w:szCs w:val="20"/>
          <w:u w:val="none"/>
        </w:rPr>
        <w:t>5. Agravo interno a que se nega provimento.</w:t>
      </w:r>
    </w:p>
    <w:p w:rsidR="00AE5BAE" w:rsidRPr="00F74FDD" w:rsidRDefault="00AE5BAE" w:rsidP="00925A59">
      <w:pPr>
        <w:spacing w:after="0"/>
        <w:jc w:val="both"/>
        <w:rPr>
          <w:rStyle w:val="Hyperlink"/>
          <w:rFonts w:ascii="Arial" w:hAnsi="Arial" w:cs="Arial"/>
          <w:color w:val="auto"/>
          <w:sz w:val="20"/>
          <w:szCs w:val="20"/>
          <w:u w:val="none"/>
        </w:rPr>
      </w:pPr>
    </w:p>
    <w:p w:rsidR="001430B3" w:rsidRPr="00F74FDD" w:rsidRDefault="00526AAA" w:rsidP="00925A59">
      <w:pPr>
        <w:spacing w:after="0"/>
        <w:jc w:val="both"/>
        <w:rPr>
          <w:rStyle w:val="Hyperlink"/>
          <w:rFonts w:ascii="Arial" w:hAnsi="Arial" w:cs="Arial"/>
          <w:color w:val="auto"/>
          <w:sz w:val="20"/>
          <w:szCs w:val="20"/>
          <w:u w:val="none"/>
        </w:rPr>
      </w:pPr>
      <w:hyperlink r:id="rId20" w:history="1">
        <w:proofErr w:type="spellStart"/>
        <w:r w:rsidR="00925A59" w:rsidRPr="00410758">
          <w:rPr>
            <w:rStyle w:val="Hyperlink"/>
            <w:rFonts w:ascii="Arial" w:hAnsi="Arial" w:cs="Arial"/>
            <w:sz w:val="20"/>
            <w:szCs w:val="20"/>
          </w:rPr>
          <w:t>AgInt</w:t>
        </w:r>
        <w:proofErr w:type="spellEnd"/>
        <w:r w:rsidR="00925A59" w:rsidRPr="00410758">
          <w:rPr>
            <w:rStyle w:val="Hyperlink"/>
            <w:rFonts w:ascii="Arial" w:hAnsi="Arial" w:cs="Arial"/>
            <w:sz w:val="20"/>
            <w:szCs w:val="20"/>
          </w:rPr>
          <w:t xml:space="preserve"> no </w:t>
        </w:r>
        <w:proofErr w:type="spellStart"/>
        <w:r w:rsidR="00925A59" w:rsidRPr="00410758">
          <w:rPr>
            <w:rStyle w:val="Hyperlink"/>
            <w:rFonts w:ascii="Arial" w:hAnsi="Arial" w:cs="Arial"/>
            <w:sz w:val="20"/>
            <w:szCs w:val="20"/>
          </w:rPr>
          <w:t>REsp</w:t>
        </w:r>
        <w:proofErr w:type="spellEnd"/>
        <w:r w:rsidR="00925A59" w:rsidRPr="00410758">
          <w:rPr>
            <w:rStyle w:val="Hyperlink"/>
            <w:rFonts w:ascii="Arial" w:hAnsi="Arial" w:cs="Arial"/>
            <w:sz w:val="20"/>
            <w:szCs w:val="20"/>
          </w:rPr>
          <w:t xml:space="preserve"> 1326903/DF</w:t>
        </w:r>
      </w:hyperlink>
      <w:r w:rsidR="00925A59" w:rsidRPr="00F74FDD">
        <w:rPr>
          <w:rStyle w:val="Hyperlink"/>
          <w:rFonts w:ascii="Arial" w:hAnsi="Arial" w:cs="Arial"/>
          <w:color w:val="auto"/>
          <w:sz w:val="20"/>
          <w:szCs w:val="20"/>
          <w:u w:val="none"/>
        </w:rPr>
        <w:t xml:space="preserve">, Rel. Ministro </w:t>
      </w:r>
      <w:proofErr w:type="spellStart"/>
      <w:r w:rsidR="00AE5BAE" w:rsidRPr="00F74FDD">
        <w:rPr>
          <w:rStyle w:val="Hyperlink"/>
          <w:rFonts w:ascii="Arial" w:hAnsi="Arial" w:cs="Arial"/>
          <w:color w:val="auto"/>
          <w:sz w:val="20"/>
          <w:szCs w:val="20"/>
          <w:u w:val="none"/>
        </w:rPr>
        <w:t>Og</w:t>
      </w:r>
      <w:proofErr w:type="spellEnd"/>
      <w:r w:rsidR="00AE5BAE" w:rsidRPr="00F74FDD">
        <w:rPr>
          <w:rStyle w:val="Hyperlink"/>
          <w:rFonts w:ascii="Arial" w:hAnsi="Arial" w:cs="Arial"/>
          <w:color w:val="auto"/>
          <w:sz w:val="20"/>
          <w:szCs w:val="20"/>
          <w:u w:val="none"/>
        </w:rPr>
        <w:t xml:space="preserve"> Fernandes</w:t>
      </w:r>
      <w:r w:rsidR="00925A59" w:rsidRPr="00F74FDD">
        <w:rPr>
          <w:rStyle w:val="Hyperlink"/>
          <w:rFonts w:ascii="Arial" w:hAnsi="Arial" w:cs="Arial"/>
          <w:color w:val="auto"/>
          <w:sz w:val="20"/>
          <w:szCs w:val="20"/>
          <w:u w:val="none"/>
        </w:rPr>
        <w:t xml:space="preserve">, </w:t>
      </w:r>
      <w:r w:rsidR="00AE5BAE" w:rsidRPr="00F74FDD">
        <w:rPr>
          <w:rStyle w:val="Hyperlink"/>
          <w:rFonts w:ascii="Arial" w:hAnsi="Arial" w:cs="Arial"/>
          <w:color w:val="auto"/>
          <w:sz w:val="20"/>
          <w:szCs w:val="20"/>
          <w:u w:val="none"/>
        </w:rPr>
        <w:t>Segunda Turma</w:t>
      </w:r>
      <w:r w:rsidR="00925A59" w:rsidRPr="00F74FDD">
        <w:rPr>
          <w:rStyle w:val="Hyperlink"/>
          <w:rFonts w:ascii="Arial" w:hAnsi="Arial" w:cs="Arial"/>
          <w:color w:val="auto"/>
          <w:sz w:val="20"/>
          <w:szCs w:val="20"/>
          <w:u w:val="none"/>
        </w:rPr>
        <w:t xml:space="preserve">, julgado em 24/04/2018, </w:t>
      </w:r>
      <w:proofErr w:type="spellStart"/>
      <w:r w:rsidR="00925A59" w:rsidRPr="00F74FDD">
        <w:rPr>
          <w:rStyle w:val="Hyperlink"/>
          <w:rFonts w:ascii="Arial" w:hAnsi="Arial" w:cs="Arial"/>
          <w:color w:val="auto"/>
          <w:sz w:val="20"/>
          <w:szCs w:val="20"/>
          <w:u w:val="none"/>
        </w:rPr>
        <w:t>DJe</w:t>
      </w:r>
      <w:proofErr w:type="spellEnd"/>
      <w:r w:rsidR="00925A59" w:rsidRPr="00F74FDD">
        <w:rPr>
          <w:rStyle w:val="Hyperlink"/>
          <w:rFonts w:ascii="Arial" w:hAnsi="Arial" w:cs="Arial"/>
          <w:color w:val="auto"/>
          <w:sz w:val="20"/>
          <w:szCs w:val="20"/>
          <w:u w:val="none"/>
        </w:rPr>
        <w:t xml:space="preserve"> 30/04/2018</w:t>
      </w:r>
      <w:r w:rsidR="00F74FDD" w:rsidRPr="00F74FDD">
        <w:rPr>
          <w:rStyle w:val="Hyperlink"/>
          <w:rFonts w:ascii="Arial" w:hAnsi="Arial" w:cs="Arial"/>
          <w:color w:val="auto"/>
          <w:sz w:val="20"/>
          <w:szCs w:val="20"/>
          <w:u w:val="none"/>
        </w:rPr>
        <w:t>.</w:t>
      </w:r>
    </w:p>
    <w:p w:rsidR="001430B3" w:rsidRPr="001430B3" w:rsidRDefault="001430B3" w:rsidP="00816942">
      <w:pPr>
        <w:spacing w:after="0"/>
        <w:jc w:val="both"/>
        <w:rPr>
          <w:rStyle w:val="Hyperlink"/>
          <w:rFonts w:ascii="Arial" w:hAnsi="Arial" w:cs="Arial"/>
          <w:b/>
          <w:color w:val="auto"/>
          <w:sz w:val="20"/>
          <w:szCs w:val="20"/>
          <w:u w:val="none"/>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4123C8" w:rsidRDefault="004123C8" w:rsidP="00ED0ADF">
      <w:pPr>
        <w:spacing w:after="0"/>
        <w:jc w:val="both"/>
        <w:rPr>
          <w:rFonts w:ascii="Arial" w:hAnsi="Arial" w:cs="Arial"/>
          <w:b/>
          <w:color w:val="000000"/>
          <w:sz w:val="20"/>
          <w:szCs w:val="20"/>
        </w:rPr>
      </w:pPr>
    </w:p>
    <w:p w:rsidR="00DF35F1" w:rsidRDefault="00DF35F1" w:rsidP="00ED0ADF">
      <w:pPr>
        <w:spacing w:after="0"/>
        <w:jc w:val="both"/>
        <w:rPr>
          <w:rFonts w:ascii="Arial" w:hAnsi="Arial" w:cs="Arial"/>
          <w:b/>
          <w:color w:val="000000"/>
          <w:sz w:val="20"/>
          <w:szCs w:val="20"/>
        </w:rPr>
      </w:pPr>
      <w:r>
        <w:rPr>
          <w:rFonts w:ascii="Arial" w:hAnsi="Arial" w:cs="Arial"/>
          <w:b/>
          <w:color w:val="000000"/>
          <w:sz w:val="20"/>
          <w:szCs w:val="20"/>
        </w:rPr>
        <w:t>Tribunal de Contas do Estado do Paraná</w:t>
      </w:r>
    </w:p>
    <w:p w:rsidR="00DF35F1" w:rsidRDefault="00DF35F1" w:rsidP="00ED0ADF">
      <w:pPr>
        <w:spacing w:after="0"/>
        <w:jc w:val="both"/>
        <w:rPr>
          <w:rFonts w:ascii="Arial" w:hAnsi="Arial" w:cs="Arial"/>
          <w:b/>
          <w:color w:val="000000"/>
          <w:sz w:val="20"/>
          <w:szCs w:val="20"/>
        </w:rPr>
      </w:pPr>
    </w:p>
    <w:p w:rsidR="005E0B69" w:rsidRPr="005E0B69" w:rsidRDefault="005E0B69" w:rsidP="005E0B69">
      <w:pPr>
        <w:pStyle w:val="NormalWeb"/>
        <w:spacing w:before="0" w:beforeAutospacing="0" w:after="0" w:afterAutospacing="0"/>
        <w:jc w:val="both"/>
        <w:rPr>
          <w:rFonts w:ascii="Arial" w:hAnsi="Arial" w:cs="Arial"/>
          <w:i/>
          <w:sz w:val="20"/>
          <w:szCs w:val="20"/>
        </w:rPr>
      </w:pPr>
      <w:r w:rsidRPr="00832ACE">
        <w:rPr>
          <w:rStyle w:val="nfase"/>
          <w:rFonts w:ascii="Arial" w:hAnsi="Arial" w:cs="Arial"/>
          <w:b/>
          <w:i w:val="0"/>
          <w:sz w:val="20"/>
          <w:szCs w:val="20"/>
        </w:rPr>
        <w:t>Consulta com Força Normativa</w:t>
      </w:r>
      <w:r w:rsidRPr="005E0B69">
        <w:rPr>
          <w:rStyle w:val="nfase"/>
          <w:rFonts w:ascii="Arial" w:hAnsi="Arial" w:cs="Arial"/>
          <w:i w:val="0"/>
          <w:sz w:val="20"/>
          <w:szCs w:val="20"/>
        </w:rPr>
        <w:t xml:space="preserve"> - Processo n° 67172/08 - </w:t>
      </w:r>
      <w:hyperlink r:id="rId21" w:history="1">
        <w:r w:rsidRPr="005E0B69">
          <w:rPr>
            <w:rStyle w:val="Hyperlink"/>
            <w:rFonts w:ascii="Arial" w:hAnsi="Arial" w:cs="Arial"/>
            <w:sz w:val="20"/>
            <w:szCs w:val="20"/>
          </w:rPr>
          <w:t>Acórdão n° 940/08 - Tribunal Pleno </w:t>
        </w:r>
      </w:hyperlink>
      <w:r w:rsidRPr="005E0B69">
        <w:rPr>
          <w:rStyle w:val="nfase"/>
          <w:rFonts w:ascii="Arial" w:hAnsi="Arial" w:cs="Arial"/>
          <w:i w:val="0"/>
          <w:sz w:val="20"/>
          <w:szCs w:val="20"/>
        </w:rPr>
        <w:t xml:space="preserve">- Rel. Cons. Heinz Georg </w:t>
      </w:r>
      <w:proofErr w:type="spellStart"/>
      <w:r w:rsidRPr="005E0B69">
        <w:rPr>
          <w:rStyle w:val="nfase"/>
          <w:rFonts w:ascii="Arial" w:hAnsi="Arial" w:cs="Arial"/>
          <w:i w:val="0"/>
          <w:sz w:val="20"/>
          <w:szCs w:val="20"/>
        </w:rPr>
        <w:t>Herwig</w:t>
      </w:r>
      <w:proofErr w:type="spellEnd"/>
      <w:r w:rsidRPr="005E0B69">
        <w:rPr>
          <w:rStyle w:val="nfase"/>
          <w:rFonts w:ascii="Arial" w:hAnsi="Arial" w:cs="Arial"/>
          <w:i w:val="0"/>
          <w:sz w:val="20"/>
          <w:szCs w:val="20"/>
        </w:rPr>
        <w:t>.</w:t>
      </w:r>
    </w:p>
    <w:p w:rsidR="005E0B69" w:rsidRDefault="005E0B69" w:rsidP="00ED0ADF">
      <w:pPr>
        <w:spacing w:after="0"/>
        <w:jc w:val="both"/>
        <w:rPr>
          <w:rFonts w:ascii="Arial" w:hAnsi="Arial" w:cs="Arial"/>
          <w:b/>
          <w:color w:val="000000"/>
          <w:sz w:val="20"/>
          <w:szCs w:val="20"/>
        </w:rPr>
      </w:pPr>
    </w:p>
    <w:p w:rsidR="00DF35F1" w:rsidRPr="005E0B69" w:rsidRDefault="00DF35F1" w:rsidP="00DF35F1">
      <w:pPr>
        <w:spacing w:after="0" w:line="240" w:lineRule="auto"/>
        <w:jc w:val="both"/>
        <w:rPr>
          <w:rFonts w:ascii="Arial" w:hAnsi="Arial" w:cs="Arial"/>
          <w:sz w:val="20"/>
          <w:szCs w:val="20"/>
        </w:rPr>
      </w:pPr>
      <w:r w:rsidRPr="005E0B69">
        <w:rPr>
          <w:rStyle w:val="Forte"/>
          <w:rFonts w:ascii="Arial" w:hAnsi="Arial" w:cs="Arial"/>
          <w:sz w:val="20"/>
          <w:szCs w:val="20"/>
        </w:rPr>
        <w:t xml:space="preserve">Contratação para tratamento de Resíduos Sólidos Urbanos por processo de inexigibilidade, com o detentor de tecnologia patenteada. Resposta no sentido que a contratação de tratamento de resíduos sólidos urbanos deve, por regra geral, adotar o certame </w:t>
      </w:r>
      <w:proofErr w:type="spellStart"/>
      <w:r w:rsidRPr="005E0B69">
        <w:rPr>
          <w:rStyle w:val="Forte"/>
          <w:rFonts w:ascii="Arial" w:hAnsi="Arial" w:cs="Arial"/>
          <w:sz w:val="20"/>
          <w:szCs w:val="20"/>
        </w:rPr>
        <w:t>licitacional</w:t>
      </w:r>
      <w:proofErr w:type="spellEnd"/>
      <w:r w:rsidRPr="005E0B69">
        <w:rPr>
          <w:rStyle w:val="Forte"/>
          <w:rFonts w:ascii="Arial" w:hAnsi="Arial" w:cs="Arial"/>
          <w:sz w:val="20"/>
          <w:szCs w:val="20"/>
        </w:rPr>
        <w:t>, mediante a modalidade de Concorrência.</w:t>
      </w:r>
    </w:p>
    <w:p w:rsidR="00DF35F1" w:rsidRPr="005E0B69" w:rsidRDefault="00DF35F1" w:rsidP="00DF35F1">
      <w:pPr>
        <w:pStyle w:val="NormalWeb"/>
        <w:spacing w:before="0" w:beforeAutospacing="0" w:after="0" w:afterAutospacing="0"/>
        <w:jc w:val="both"/>
        <w:rPr>
          <w:rFonts w:ascii="Arial" w:hAnsi="Arial" w:cs="Arial"/>
          <w:sz w:val="20"/>
          <w:szCs w:val="20"/>
        </w:rPr>
      </w:pPr>
      <w:r w:rsidRPr="005E0B69">
        <w:rPr>
          <w:rFonts w:ascii="Arial" w:hAnsi="Arial" w:cs="Arial"/>
          <w:sz w:val="20"/>
          <w:szCs w:val="20"/>
        </w:rPr>
        <w:t> </w:t>
      </w:r>
    </w:p>
    <w:p w:rsidR="00DF35F1" w:rsidRPr="00DF35F1" w:rsidRDefault="00DF35F1" w:rsidP="00DF35F1">
      <w:pPr>
        <w:pStyle w:val="NormalWeb"/>
        <w:spacing w:before="0" w:beforeAutospacing="0" w:after="0" w:afterAutospacing="0"/>
        <w:jc w:val="both"/>
        <w:rPr>
          <w:rFonts w:ascii="Arial" w:hAnsi="Arial" w:cs="Arial"/>
          <w:sz w:val="20"/>
          <w:szCs w:val="20"/>
        </w:rPr>
      </w:pPr>
      <w:r w:rsidRPr="00DF35F1">
        <w:rPr>
          <w:rFonts w:ascii="Arial" w:hAnsi="Arial" w:cs="Arial"/>
          <w:sz w:val="20"/>
          <w:szCs w:val="20"/>
        </w:rPr>
        <w:t xml:space="preserve">A contratação de tratamento de resíduos sólidos urbanos deve-se, por regra geral, adotar o certame </w:t>
      </w:r>
      <w:proofErr w:type="spellStart"/>
      <w:r w:rsidRPr="00DF35F1">
        <w:rPr>
          <w:rFonts w:ascii="Arial" w:hAnsi="Arial" w:cs="Arial"/>
          <w:sz w:val="20"/>
          <w:szCs w:val="20"/>
        </w:rPr>
        <w:t>licitacional</w:t>
      </w:r>
      <w:proofErr w:type="spellEnd"/>
      <w:r w:rsidRPr="00DF35F1">
        <w:rPr>
          <w:rFonts w:ascii="Arial" w:hAnsi="Arial" w:cs="Arial"/>
          <w:sz w:val="20"/>
          <w:szCs w:val="20"/>
        </w:rPr>
        <w:t xml:space="preserve">, mediante a modalidade de Concorrência. No entanto, outras formas de contratações, previstas na legislação que rege a matéria, poderão, conforme o caso concreto se apresentar, serem adotadas, dentre elas a contratação por emergência e a inexigibilidade de </w:t>
      </w:r>
      <w:r w:rsidRPr="00DF35F1">
        <w:rPr>
          <w:rFonts w:ascii="Arial" w:hAnsi="Arial" w:cs="Arial"/>
          <w:sz w:val="20"/>
          <w:szCs w:val="20"/>
        </w:rPr>
        <w:lastRenderedPageBreak/>
        <w:t>licitação, desde que objetivamente satisfeitos os princípios norteadores da atividade ambiental sob comento e os requisitos legais.</w:t>
      </w:r>
    </w:p>
    <w:p w:rsidR="0075376E" w:rsidRDefault="0075376E" w:rsidP="005E0B69">
      <w:pPr>
        <w:pStyle w:val="NormalWeb"/>
        <w:spacing w:before="0" w:beforeAutospacing="0" w:after="180" w:afterAutospacing="0" w:line="300" w:lineRule="atLeast"/>
        <w:jc w:val="both"/>
        <w:rPr>
          <w:rFonts w:ascii="Arial" w:hAnsi="Arial" w:cs="Arial"/>
          <w:b/>
          <w:color w:val="000000"/>
          <w:sz w:val="20"/>
          <w:szCs w:val="20"/>
        </w:rPr>
      </w:pPr>
    </w:p>
    <w:p w:rsidR="00ED0ADF" w:rsidRDefault="00ED0ADF" w:rsidP="005E0B69">
      <w:pPr>
        <w:pStyle w:val="NormalWeb"/>
        <w:spacing w:before="0" w:beforeAutospacing="0" w:after="180" w:afterAutospacing="0" w:line="300" w:lineRule="atLeast"/>
        <w:jc w:val="both"/>
        <w:rPr>
          <w:rFonts w:ascii="Arial" w:hAnsi="Arial" w:cs="Arial"/>
          <w:b/>
          <w:color w:val="000000"/>
          <w:sz w:val="20"/>
          <w:szCs w:val="20"/>
        </w:rPr>
      </w:pPr>
      <w:r w:rsidRPr="0049660B">
        <w:rPr>
          <w:rFonts w:ascii="Arial" w:hAnsi="Arial" w:cs="Arial"/>
          <w:b/>
          <w:color w:val="000000"/>
          <w:sz w:val="20"/>
          <w:szCs w:val="20"/>
        </w:rPr>
        <w:t>S</w:t>
      </w:r>
      <w:r>
        <w:rPr>
          <w:rFonts w:ascii="Arial" w:hAnsi="Arial" w:cs="Arial"/>
          <w:b/>
          <w:color w:val="000000"/>
          <w:sz w:val="20"/>
          <w:szCs w:val="20"/>
        </w:rPr>
        <w:t xml:space="preserve">upremo </w:t>
      </w:r>
      <w:r w:rsidRPr="0049660B">
        <w:rPr>
          <w:rFonts w:ascii="Arial" w:hAnsi="Arial" w:cs="Arial"/>
          <w:b/>
          <w:color w:val="000000"/>
          <w:sz w:val="20"/>
          <w:szCs w:val="20"/>
        </w:rPr>
        <w:t xml:space="preserve">Tribunal </w:t>
      </w:r>
      <w:r>
        <w:rPr>
          <w:rFonts w:ascii="Arial" w:hAnsi="Arial" w:cs="Arial"/>
          <w:b/>
          <w:color w:val="000000"/>
          <w:sz w:val="20"/>
          <w:szCs w:val="20"/>
        </w:rPr>
        <w:t>Federal</w:t>
      </w:r>
      <w:r w:rsidRPr="0049660B">
        <w:rPr>
          <w:rFonts w:ascii="Arial" w:hAnsi="Arial" w:cs="Arial"/>
          <w:b/>
          <w:color w:val="000000"/>
          <w:sz w:val="20"/>
          <w:szCs w:val="20"/>
        </w:rPr>
        <w:t>:</w:t>
      </w:r>
    </w:p>
    <w:p w:rsidR="00ED0ADF" w:rsidRPr="00ED0ADF" w:rsidRDefault="00ED0ADF" w:rsidP="000B2FD9">
      <w:pPr>
        <w:spacing w:after="0"/>
        <w:jc w:val="both"/>
        <w:rPr>
          <w:rFonts w:ascii="Arial" w:hAnsi="Arial" w:cs="Arial"/>
          <w:b/>
          <w:color w:val="000000"/>
          <w:sz w:val="20"/>
          <w:szCs w:val="20"/>
        </w:rPr>
      </w:pPr>
      <w:r w:rsidRPr="00ED0ADF">
        <w:rPr>
          <w:rFonts w:ascii="Arial" w:hAnsi="Arial" w:cs="Arial"/>
          <w:b/>
          <w:color w:val="000000"/>
          <w:sz w:val="20"/>
          <w:szCs w:val="20"/>
        </w:rPr>
        <w:t>Tema da Repercussão Geral n° 145</w:t>
      </w:r>
      <w:r>
        <w:rPr>
          <w:rFonts w:ascii="Arial" w:hAnsi="Arial" w:cs="Arial"/>
          <w:b/>
          <w:color w:val="000000"/>
          <w:sz w:val="20"/>
          <w:szCs w:val="20"/>
        </w:rPr>
        <w:t xml:space="preserve"> - Relator: Min Luiz </w:t>
      </w:r>
      <w:proofErr w:type="spellStart"/>
      <w:r>
        <w:rPr>
          <w:rFonts w:ascii="Arial" w:hAnsi="Arial" w:cs="Arial"/>
          <w:b/>
          <w:color w:val="000000"/>
          <w:sz w:val="20"/>
          <w:szCs w:val="20"/>
        </w:rPr>
        <w:t>Fux</w:t>
      </w:r>
      <w:proofErr w:type="spellEnd"/>
      <w:r>
        <w:rPr>
          <w:rFonts w:ascii="Arial" w:hAnsi="Arial" w:cs="Arial"/>
          <w:b/>
          <w:color w:val="000000"/>
          <w:sz w:val="20"/>
          <w:szCs w:val="20"/>
        </w:rPr>
        <w:t xml:space="preserve"> - </w:t>
      </w:r>
      <w:proofErr w:type="spellStart"/>
      <w:r w:rsidRPr="00ED0ADF">
        <w:rPr>
          <w:rFonts w:ascii="Arial" w:hAnsi="Arial" w:cs="Arial"/>
          <w:b/>
          <w:i/>
          <w:color w:val="000000"/>
          <w:sz w:val="20"/>
          <w:szCs w:val="20"/>
        </w:rPr>
        <w:t>Leading</w:t>
      </w:r>
      <w:proofErr w:type="spellEnd"/>
      <w:r w:rsidRPr="00ED0ADF">
        <w:rPr>
          <w:rFonts w:ascii="Arial" w:hAnsi="Arial" w:cs="Arial"/>
          <w:b/>
          <w:i/>
          <w:color w:val="000000"/>
          <w:sz w:val="20"/>
          <w:szCs w:val="20"/>
        </w:rPr>
        <w:t xml:space="preserve"> Case</w:t>
      </w:r>
      <w:r>
        <w:rPr>
          <w:rFonts w:ascii="Arial" w:hAnsi="Arial" w:cs="Arial"/>
          <w:b/>
          <w:color w:val="000000"/>
          <w:sz w:val="20"/>
          <w:szCs w:val="20"/>
        </w:rPr>
        <w:t xml:space="preserve">: </w:t>
      </w:r>
      <w:hyperlink r:id="rId22" w:history="1">
        <w:r w:rsidRPr="00F361BD">
          <w:rPr>
            <w:rStyle w:val="Hyperlink"/>
            <w:rFonts w:ascii="Arial" w:hAnsi="Arial" w:cs="Arial"/>
            <w:sz w:val="20"/>
            <w:szCs w:val="20"/>
          </w:rPr>
          <w:t>RE 586224</w:t>
        </w:r>
      </w:hyperlink>
      <w:r>
        <w:rPr>
          <w:rFonts w:ascii="Arial" w:hAnsi="Arial" w:cs="Arial"/>
          <w:b/>
          <w:color w:val="000000"/>
          <w:sz w:val="20"/>
          <w:szCs w:val="20"/>
        </w:rPr>
        <w:t xml:space="preserve">. </w:t>
      </w:r>
      <w:r w:rsidRPr="00ED0ADF">
        <w:rPr>
          <w:rFonts w:ascii="Arial" w:hAnsi="Arial" w:cs="Arial"/>
          <w:b/>
          <w:color w:val="000000"/>
          <w:sz w:val="20"/>
          <w:szCs w:val="20"/>
        </w:rPr>
        <w:t xml:space="preserve">  </w:t>
      </w:r>
    </w:p>
    <w:p w:rsidR="00ED0ADF" w:rsidRDefault="00ED0ADF" w:rsidP="000B2FD9">
      <w:pPr>
        <w:spacing w:after="0"/>
        <w:jc w:val="both"/>
        <w:rPr>
          <w:rFonts w:ascii="Arial" w:hAnsi="Arial" w:cs="Arial"/>
          <w:color w:val="000000"/>
          <w:sz w:val="20"/>
          <w:szCs w:val="20"/>
        </w:rPr>
      </w:pPr>
    </w:p>
    <w:p w:rsidR="00ED0ADF" w:rsidRDefault="00ED0ADF" w:rsidP="000B2FD9">
      <w:pPr>
        <w:spacing w:after="0"/>
        <w:jc w:val="both"/>
        <w:rPr>
          <w:rFonts w:ascii="Arial" w:hAnsi="Arial" w:cs="Arial"/>
          <w:color w:val="000000"/>
          <w:sz w:val="20"/>
          <w:szCs w:val="20"/>
        </w:rPr>
      </w:pPr>
      <w:r>
        <w:rPr>
          <w:rFonts w:ascii="Arial" w:hAnsi="Arial" w:cs="Arial"/>
          <w:color w:val="000000"/>
          <w:sz w:val="20"/>
          <w:szCs w:val="20"/>
        </w:rPr>
        <w:t>O município é competente para legislar sobre o meio ambiente com a União e o Estado, no limite do seu interesse local e des</w:t>
      </w:r>
      <w:r w:rsidR="00346440">
        <w:rPr>
          <w:rFonts w:ascii="Arial" w:hAnsi="Arial" w:cs="Arial"/>
          <w:color w:val="000000"/>
          <w:sz w:val="20"/>
          <w:szCs w:val="20"/>
        </w:rPr>
        <w:t>de</w:t>
      </w:r>
      <w:r>
        <w:rPr>
          <w:rFonts w:ascii="Arial" w:hAnsi="Arial" w:cs="Arial"/>
          <w:color w:val="000000"/>
          <w:sz w:val="20"/>
          <w:szCs w:val="20"/>
        </w:rPr>
        <w:t xml:space="preserve"> que tal regramento seja harmônico com a disciplina estabelecida pelos demais entes federados (art. 24, VI, c/c 30, I e II, da Constituição Federal).</w:t>
      </w:r>
    </w:p>
    <w:p w:rsidR="002C6A3B" w:rsidRDefault="002C6A3B" w:rsidP="000B2FD9">
      <w:pPr>
        <w:spacing w:after="0"/>
        <w:jc w:val="both"/>
        <w:rPr>
          <w:rFonts w:ascii="Arial" w:hAnsi="Arial" w:cs="Arial"/>
          <w:color w:val="000000"/>
          <w:sz w:val="20"/>
          <w:szCs w:val="20"/>
        </w:rPr>
      </w:pPr>
    </w:p>
    <w:p w:rsidR="002C6A3B" w:rsidRPr="002C6A3B" w:rsidRDefault="002C6A3B" w:rsidP="000B2FD9">
      <w:pPr>
        <w:spacing w:after="0"/>
        <w:jc w:val="both"/>
        <w:rPr>
          <w:rFonts w:ascii="Arial" w:hAnsi="Arial" w:cs="Arial"/>
          <w:b/>
          <w:color w:val="000000"/>
          <w:sz w:val="20"/>
          <w:szCs w:val="20"/>
        </w:rPr>
      </w:pPr>
      <w:r>
        <w:rPr>
          <w:rFonts w:ascii="Arial" w:hAnsi="Arial" w:cs="Arial"/>
          <w:b/>
          <w:sz w:val="20"/>
          <w:szCs w:val="20"/>
        </w:rPr>
        <w:t>Medida Cautelar n</w:t>
      </w:r>
      <w:r w:rsidRPr="002C6A3B">
        <w:rPr>
          <w:rFonts w:ascii="Arial" w:hAnsi="Arial" w:cs="Arial"/>
          <w:b/>
          <w:sz w:val="20"/>
          <w:szCs w:val="20"/>
        </w:rPr>
        <w:t>a Ação Direta De Inconstitucionalidade 3.547</w:t>
      </w:r>
      <w:r>
        <w:rPr>
          <w:rFonts w:ascii="Arial" w:hAnsi="Arial" w:cs="Arial"/>
          <w:b/>
          <w:sz w:val="20"/>
          <w:szCs w:val="20"/>
        </w:rPr>
        <w:t xml:space="preserve"> - </w:t>
      </w:r>
      <w:r w:rsidRPr="002C6A3B">
        <w:rPr>
          <w:rFonts w:ascii="Arial" w:hAnsi="Arial" w:cs="Arial"/>
          <w:b/>
          <w:sz w:val="20"/>
          <w:szCs w:val="20"/>
        </w:rPr>
        <w:t>Paraná</w:t>
      </w:r>
      <w:r>
        <w:rPr>
          <w:rFonts w:ascii="Arial" w:hAnsi="Arial" w:cs="Arial"/>
          <w:b/>
          <w:sz w:val="20"/>
          <w:szCs w:val="20"/>
        </w:rPr>
        <w:t xml:space="preserve"> - Rel. Min. Alexandre de Moraes: </w:t>
      </w:r>
      <w:hyperlink r:id="rId23" w:history="1">
        <w:r w:rsidRPr="002C6A3B">
          <w:rPr>
            <w:rStyle w:val="Hyperlink"/>
            <w:rFonts w:ascii="Arial" w:hAnsi="Arial" w:cs="Arial"/>
            <w:sz w:val="20"/>
            <w:szCs w:val="20"/>
          </w:rPr>
          <w:t>MC/ADI 3547/PR</w:t>
        </w:r>
      </w:hyperlink>
      <w:r>
        <w:rPr>
          <w:rFonts w:ascii="Arial" w:hAnsi="Arial" w:cs="Arial"/>
          <w:b/>
          <w:sz w:val="20"/>
          <w:szCs w:val="20"/>
        </w:rPr>
        <w:t>.</w:t>
      </w:r>
    </w:p>
    <w:p w:rsidR="00ED0ADF" w:rsidRDefault="00ED0ADF" w:rsidP="002C6A3B">
      <w:pPr>
        <w:spacing w:after="0"/>
        <w:jc w:val="both"/>
        <w:rPr>
          <w:rFonts w:ascii="Tahoma" w:hAnsi="Tahoma" w:cs="Tahoma"/>
          <w:color w:val="385260"/>
          <w:sz w:val="17"/>
          <w:szCs w:val="17"/>
        </w:rPr>
      </w:pPr>
    </w:p>
    <w:p w:rsidR="002C6A3B" w:rsidRPr="002C6A3B" w:rsidRDefault="002C6A3B" w:rsidP="002C6A3B">
      <w:pPr>
        <w:pStyle w:val="Ttulo3"/>
        <w:shd w:val="clear" w:color="auto" w:fill="FFFFFF"/>
        <w:spacing w:before="0"/>
        <w:jc w:val="both"/>
        <w:rPr>
          <w:rFonts w:ascii="Arial" w:hAnsi="Arial" w:cs="Arial"/>
          <w:color w:val="auto"/>
          <w:spacing w:val="-5"/>
          <w:sz w:val="20"/>
          <w:szCs w:val="20"/>
        </w:rPr>
      </w:pPr>
      <w:r w:rsidRPr="002C6A3B">
        <w:rPr>
          <w:rFonts w:ascii="Arial" w:hAnsi="Arial" w:cs="Arial"/>
          <w:color w:val="auto"/>
          <w:sz w:val="20"/>
          <w:szCs w:val="20"/>
        </w:rPr>
        <w:t xml:space="preserve">Suspenso dispositivo de lei do PR sobre compensação de reserva florestal - </w:t>
      </w:r>
      <w:r w:rsidRPr="002C6A3B">
        <w:rPr>
          <w:rFonts w:ascii="Arial" w:hAnsi="Arial" w:cs="Arial"/>
          <w:color w:val="auto"/>
          <w:spacing w:val="-5"/>
          <w:sz w:val="20"/>
          <w:szCs w:val="20"/>
        </w:rPr>
        <w:t xml:space="preserve">Segundo o relator da ADI, ministro Alexandre de Moraes, a norma questionada põe em risco a preservação dos ecossistemas locais, cuja proteção é </w:t>
      </w:r>
      <w:proofErr w:type="gramStart"/>
      <w:r w:rsidRPr="002C6A3B">
        <w:rPr>
          <w:rFonts w:ascii="Arial" w:hAnsi="Arial" w:cs="Arial"/>
          <w:color w:val="auto"/>
          <w:spacing w:val="-5"/>
          <w:sz w:val="20"/>
          <w:szCs w:val="20"/>
        </w:rPr>
        <w:t>imperativo</w:t>
      </w:r>
      <w:proofErr w:type="gramEnd"/>
      <w:r w:rsidRPr="002C6A3B">
        <w:rPr>
          <w:rFonts w:ascii="Arial" w:hAnsi="Arial" w:cs="Arial"/>
          <w:color w:val="auto"/>
          <w:spacing w:val="-5"/>
          <w:sz w:val="20"/>
          <w:szCs w:val="20"/>
        </w:rPr>
        <w:t xml:space="preserve"> constitucional.</w:t>
      </w:r>
    </w:p>
    <w:p w:rsidR="002C6A3B" w:rsidRDefault="002C6A3B" w:rsidP="0049660B">
      <w:pPr>
        <w:spacing w:after="0"/>
        <w:jc w:val="both"/>
        <w:rPr>
          <w:rFonts w:ascii="Tahoma" w:hAnsi="Tahoma" w:cs="Tahoma"/>
          <w:color w:val="385260"/>
          <w:sz w:val="17"/>
          <w:szCs w:val="17"/>
        </w:rPr>
      </w:pPr>
    </w:p>
    <w:p w:rsidR="0049660B" w:rsidRPr="0049660B" w:rsidRDefault="0049660B" w:rsidP="0049660B">
      <w:pPr>
        <w:spacing w:after="0"/>
        <w:jc w:val="both"/>
        <w:rPr>
          <w:rFonts w:ascii="Arial" w:hAnsi="Arial" w:cs="Arial"/>
          <w:b/>
          <w:color w:val="000000"/>
          <w:sz w:val="20"/>
          <w:szCs w:val="20"/>
        </w:rPr>
      </w:pPr>
      <w:r w:rsidRPr="0049660B">
        <w:rPr>
          <w:rFonts w:ascii="Arial" w:hAnsi="Arial" w:cs="Arial"/>
          <w:b/>
          <w:color w:val="000000"/>
          <w:sz w:val="20"/>
          <w:szCs w:val="20"/>
        </w:rPr>
        <w:t>Superior Tribunal de Justiça:</w:t>
      </w:r>
    </w:p>
    <w:p w:rsidR="004D55EC" w:rsidRPr="0049660B" w:rsidRDefault="004D55EC" w:rsidP="0049660B">
      <w:pPr>
        <w:spacing w:after="0"/>
        <w:jc w:val="both"/>
        <w:rPr>
          <w:rFonts w:ascii="Arial" w:hAnsi="Arial" w:cs="Arial"/>
          <w:b/>
          <w:color w:val="000000"/>
          <w:sz w:val="20"/>
          <w:szCs w:val="20"/>
        </w:rPr>
      </w:pPr>
    </w:p>
    <w:p w:rsidR="004D55EC" w:rsidRPr="0049660B" w:rsidRDefault="004D55EC" w:rsidP="0049660B">
      <w:pPr>
        <w:spacing w:after="0"/>
        <w:rPr>
          <w:rFonts w:ascii="Arial" w:eastAsia="Times New Roman" w:hAnsi="Arial" w:cs="Arial"/>
          <w:sz w:val="20"/>
          <w:szCs w:val="20"/>
          <w:shd w:val="clear" w:color="auto" w:fill="FFFFFF"/>
          <w:lang w:eastAsia="pt-BR"/>
        </w:rPr>
      </w:pPr>
      <w:r w:rsidRPr="0049660B">
        <w:rPr>
          <w:rFonts w:ascii="Arial" w:eastAsia="Times New Roman" w:hAnsi="Arial" w:cs="Arial"/>
          <w:b/>
          <w:bCs/>
          <w:sz w:val="20"/>
          <w:szCs w:val="20"/>
          <w:shd w:val="clear" w:color="auto" w:fill="FFFFFF"/>
          <w:lang w:eastAsia="pt-BR"/>
        </w:rPr>
        <w:t>SÚMULA N. 613</w:t>
      </w:r>
    </w:p>
    <w:p w:rsidR="0049660B" w:rsidRDefault="0049660B" w:rsidP="0049660B">
      <w:pPr>
        <w:spacing w:after="0"/>
        <w:jc w:val="both"/>
        <w:rPr>
          <w:rFonts w:ascii="Arial" w:eastAsia="Times New Roman" w:hAnsi="Arial" w:cs="Arial"/>
          <w:sz w:val="20"/>
          <w:szCs w:val="20"/>
          <w:shd w:val="clear" w:color="auto" w:fill="FFFFFF"/>
          <w:lang w:eastAsia="pt-BR"/>
        </w:rPr>
      </w:pPr>
    </w:p>
    <w:p w:rsidR="004D55EC" w:rsidRDefault="004D55EC" w:rsidP="0049660B">
      <w:pPr>
        <w:spacing w:after="0"/>
        <w:jc w:val="both"/>
        <w:rPr>
          <w:rFonts w:ascii="Arial" w:eastAsia="Times New Roman" w:hAnsi="Arial" w:cs="Arial"/>
          <w:b/>
          <w:bCs/>
          <w:sz w:val="20"/>
          <w:szCs w:val="20"/>
          <w:shd w:val="clear" w:color="auto" w:fill="FFFFFF"/>
          <w:lang w:eastAsia="pt-BR"/>
        </w:rPr>
      </w:pPr>
      <w:r w:rsidRPr="004D55EC">
        <w:rPr>
          <w:rFonts w:ascii="Arial" w:eastAsia="Times New Roman" w:hAnsi="Arial" w:cs="Arial"/>
          <w:sz w:val="20"/>
          <w:szCs w:val="20"/>
          <w:shd w:val="clear" w:color="auto" w:fill="FFFFFF"/>
          <w:lang w:eastAsia="pt-BR"/>
        </w:rPr>
        <w:t>Não se admite a aplicação da teoria do fato consumado em tema de Direito Ambiental. </w:t>
      </w:r>
      <w:r w:rsidRPr="0049660B">
        <w:rPr>
          <w:rFonts w:ascii="Arial" w:eastAsia="Times New Roman" w:hAnsi="Arial" w:cs="Arial"/>
          <w:b/>
          <w:bCs/>
          <w:sz w:val="20"/>
          <w:szCs w:val="20"/>
          <w:shd w:val="clear" w:color="auto" w:fill="FFFFFF"/>
          <w:lang w:eastAsia="pt-BR"/>
        </w:rPr>
        <w:t xml:space="preserve">Primeira Seção, aprovada em 09/05/2018, </w:t>
      </w:r>
      <w:proofErr w:type="spellStart"/>
      <w:r w:rsidRPr="0049660B">
        <w:rPr>
          <w:rFonts w:ascii="Arial" w:eastAsia="Times New Roman" w:hAnsi="Arial" w:cs="Arial"/>
          <w:b/>
          <w:bCs/>
          <w:sz w:val="20"/>
          <w:szCs w:val="20"/>
          <w:shd w:val="clear" w:color="auto" w:fill="FFFFFF"/>
          <w:lang w:eastAsia="pt-BR"/>
        </w:rPr>
        <w:t>DJe</w:t>
      </w:r>
      <w:proofErr w:type="spellEnd"/>
      <w:r w:rsidRPr="0049660B">
        <w:rPr>
          <w:rFonts w:ascii="Arial" w:eastAsia="Times New Roman" w:hAnsi="Arial" w:cs="Arial"/>
          <w:b/>
          <w:bCs/>
          <w:sz w:val="20"/>
          <w:szCs w:val="20"/>
          <w:shd w:val="clear" w:color="auto" w:fill="FFFFFF"/>
          <w:lang w:eastAsia="pt-BR"/>
        </w:rPr>
        <w:t xml:space="preserve"> 14/05/2018.</w:t>
      </w:r>
    </w:p>
    <w:p w:rsidR="004762B1" w:rsidRDefault="004762B1" w:rsidP="0049660B">
      <w:pPr>
        <w:spacing w:after="0"/>
        <w:jc w:val="both"/>
        <w:rPr>
          <w:rFonts w:ascii="Arial" w:eastAsia="Times New Roman" w:hAnsi="Arial" w:cs="Arial"/>
          <w:b/>
          <w:bCs/>
          <w:sz w:val="20"/>
          <w:szCs w:val="20"/>
          <w:shd w:val="clear" w:color="auto" w:fill="FFFFFF"/>
          <w:lang w:eastAsia="pt-BR"/>
        </w:rPr>
      </w:pPr>
    </w:p>
    <w:p w:rsidR="004762B1" w:rsidRPr="004762B1" w:rsidRDefault="004762B1" w:rsidP="0049660B">
      <w:pPr>
        <w:spacing w:after="0"/>
        <w:jc w:val="both"/>
        <w:rPr>
          <w:rFonts w:ascii="Arial" w:eastAsia="Times New Roman" w:hAnsi="Arial" w:cs="Arial"/>
          <w:sz w:val="20"/>
          <w:szCs w:val="20"/>
          <w:lang w:eastAsia="pt-BR"/>
        </w:rPr>
      </w:pPr>
      <w:r w:rsidRPr="004762B1">
        <w:rPr>
          <w:rFonts w:ascii="Arial" w:hAnsi="Arial" w:cs="Arial"/>
          <w:color w:val="000000"/>
          <w:sz w:val="20"/>
          <w:szCs w:val="20"/>
          <w:shd w:val="clear" w:color="auto" w:fill="FFFFFF"/>
        </w:rPr>
        <w:t xml:space="preserve">A 1ª Seção do STJ (Superior Tribunal de Justiça) aprovou no último dia 09.05.2018 a Súmula 613 cujo texto rejeita a aplicação da chamada teoria do fato consumado em matéria de Direito Ambiental. Publicada no dia 14 no </w:t>
      </w:r>
      <w:proofErr w:type="spellStart"/>
      <w:r w:rsidRPr="004762B1">
        <w:rPr>
          <w:rFonts w:ascii="Arial" w:hAnsi="Arial" w:cs="Arial"/>
          <w:color w:val="000000"/>
          <w:sz w:val="20"/>
          <w:szCs w:val="20"/>
          <w:shd w:val="clear" w:color="auto" w:fill="FFFFFF"/>
        </w:rPr>
        <w:t>DJe</w:t>
      </w:r>
      <w:proofErr w:type="spellEnd"/>
      <w:r w:rsidRPr="004762B1">
        <w:rPr>
          <w:rFonts w:ascii="Arial" w:hAnsi="Arial" w:cs="Arial"/>
          <w:color w:val="000000"/>
          <w:sz w:val="20"/>
          <w:szCs w:val="20"/>
          <w:shd w:val="clear" w:color="auto" w:fill="FFFFFF"/>
        </w:rPr>
        <w:t>, essa Súmula sustenta, com base na exposição de motivos que lhe deu origem, que não se pode reconhecer um direito a situações que causam danos ao meio ambiente sob a alegação que os efeitos de uma eventual degradação já estavam consolidados no tempo. </w:t>
      </w:r>
    </w:p>
    <w:p w:rsidR="004D55EC" w:rsidRDefault="004D55EC" w:rsidP="000B2FD9">
      <w:pPr>
        <w:spacing w:after="0"/>
        <w:jc w:val="both"/>
        <w:rPr>
          <w:rFonts w:ascii="Arial" w:hAnsi="Arial" w:cs="Arial"/>
          <w:b/>
          <w:color w:val="000000"/>
          <w:sz w:val="20"/>
          <w:szCs w:val="20"/>
        </w:rPr>
      </w:pP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Pr="00BC4C07" w:rsidRDefault="00526AAA" w:rsidP="00270E2F">
      <w:pPr>
        <w:pStyle w:val="Default"/>
        <w:spacing w:line="276" w:lineRule="auto"/>
        <w:jc w:val="center"/>
        <w:rPr>
          <w:b/>
          <w:sz w:val="20"/>
          <w:szCs w:val="20"/>
        </w:rPr>
      </w:pPr>
      <w:hyperlink r:id="rId24"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526AAA" w:rsidP="00270E2F">
      <w:pPr>
        <w:pStyle w:val="Default"/>
        <w:spacing w:line="276" w:lineRule="auto"/>
        <w:jc w:val="center"/>
        <w:rPr>
          <w:rStyle w:val="Hyperlink"/>
          <w:b/>
          <w:sz w:val="20"/>
          <w:szCs w:val="20"/>
        </w:rPr>
      </w:pPr>
      <w:hyperlink r:id="rId25" w:history="1">
        <w:r w:rsidR="00270E2F">
          <w:rPr>
            <w:rStyle w:val="Hyperlink"/>
            <w:b/>
            <w:sz w:val="20"/>
            <w:szCs w:val="20"/>
          </w:rPr>
          <w:t>Repercussão Geral do Supremo Tribunal Federal - STF e os Tribunais de Contas</w:t>
        </w:r>
      </w:hyperlink>
    </w:p>
    <w:p w:rsidR="00270E2F" w:rsidRPr="00DD265A" w:rsidRDefault="00270E2F" w:rsidP="00270E2F">
      <w:pPr>
        <w:pStyle w:val="Default"/>
        <w:spacing w:line="276" w:lineRule="auto"/>
        <w:jc w:val="center"/>
        <w:rPr>
          <w:rStyle w:val="Hyperlink"/>
          <w:b/>
          <w:sz w:val="20"/>
          <w:szCs w:val="20"/>
        </w:rPr>
      </w:pPr>
    </w:p>
    <w:p w:rsidR="002A00E8" w:rsidRPr="004B1C0F" w:rsidRDefault="00526AAA" w:rsidP="002A00E8">
      <w:pPr>
        <w:pStyle w:val="Default"/>
        <w:spacing w:line="276" w:lineRule="auto"/>
        <w:jc w:val="center"/>
        <w:rPr>
          <w:rStyle w:val="Hyperlink"/>
          <w:b/>
          <w:sz w:val="20"/>
          <w:szCs w:val="20"/>
        </w:rPr>
      </w:pPr>
      <w:hyperlink r:id="rId26" w:history="1">
        <w:r w:rsidR="002A00E8" w:rsidRPr="004B1C0F">
          <w:rPr>
            <w:rStyle w:val="Hyperlink"/>
            <w:b/>
            <w:sz w:val="20"/>
            <w:szCs w:val="20"/>
          </w:rPr>
          <w:t xml:space="preserve">Revista Digital do Tribunal de Contas do Estado do Paraná - Edição n° </w:t>
        </w:r>
        <w:r w:rsidR="004B1C0F" w:rsidRPr="004B1C0F">
          <w:rPr>
            <w:rStyle w:val="Hyperlink"/>
            <w:b/>
            <w:sz w:val="20"/>
            <w:szCs w:val="20"/>
          </w:rPr>
          <w:t>20</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w:t>
      </w:r>
      <w:bookmarkStart w:id="0" w:name="_GoBack"/>
      <w:bookmarkEnd w:id="0"/>
      <w:r>
        <w:rPr>
          <w:rStyle w:val="Hyperlink"/>
          <w:rFonts w:ascii="Arial" w:hAnsi="Arial" w:cs="Arial"/>
          <w:i/>
          <w:color w:val="000000" w:themeColor="text1"/>
          <w:sz w:val="20"/>
          <w:szCs w:val="20"/>
          <w:u w:val="none"/>
        </w:rPr>
        <w:t>rudência</w:t>
      </w:r>
    </w:p>
    <w:sectPr w:rsidR="00DB558E">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526AAA">
      <w:rPr>
        <w:noProof/>
        <w:sz w:val="16"/>
        <w:szCs w:val="16"/>
      </w:rPr>
      <w:t>7</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r w:rsidR="00526AAA">
      <w:rPr>
        <w:noProof/>
      </w:rPr>
      <w:drawing>
        <wp:inline distT="0" distB="0" distL="0" distR="0" wp14:anchorId="234540F6" wp14:editId="32D9E3F3">
          <wp:extent cx="1245996" cy="780214"/>
          <wp:effectExtent l="0" t="0" r="0" b="1270"/>
          <wp:docPr id="3" name="Imagem 3" descr="C:\Users\tc518280\AppData\Local\Microsoft\Windows\INetCache\Content.Word\Logo-Teses-Ambientai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518280\AppData\Local\Microsoft\Windows\INetCache\Content.Word\Logo-Teses-Ambientais_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996" cy="780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9B11309"/>
    <w:multiLevelType w:val="multilevel"/>
    <w:tmpl w:val="F1C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2"/>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4ADB"/>
    <w:rsid w:val="00015B58"/>
    <w:rsid w:val="00015FB0"/>
    <w:rsid w:val="00017EBA"/>
    <w:rsid w:val="00021B0A"/>
    <w:rsid w:val="00022D68"/>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82784"/>
    <w:rsid w:val="00085848"/>
    <w:rsid w:val="0009260D"/>
    <w:rsid w:val="000926D4"/>
    <w:rsid w:val="00092E5D"/>
    <w:rsid w:val="0009482D"/>
    <w:rsid w:val="0009711C"/>
    <w:rsid w:val="0009762F"/>
    <w:rsid w:val="00097B00"/>
    <w:rsid w:val="000A05C5"/>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B5C6A"/>
    <w:rsid w:val="000C2948"/>
    <w:rsid w:val="000C3582"/>
    <w:rsid w:val="000C4F73"/>
    <w:rsid w:val="000C5093"/>
    <w:rsid w:val="000C5460"/>
    <w:rsid w:val="000C5EB3"/>
    <w:rsid w:val="000C63BC"/>
    <w:rsid w:val="000C7D67"/>
    <w:rsid w:val="000D2D5B"/>
    <w:rsid w:val="000D357D"/>
    <w:rsid w:val="000D4DE6"/>
    <w:rsid w:val="000D560C"/>
    <w:rsid w:val="000D6D01"/>
    <w:rsid w:val="000E1F93"/>
    <w:rsid w:val="000E300B"/>
    <w:rsid w:val="000E3ACE"/>
    <w:rsid w:val="000E3FC6"/>
    <w:rsid w:val="000E464B"/>
    <w:rsid w:val="000E485E"/>
    <w:rsid w:val="000E5AC8"/>
    <w:rsid w:val="000F04ED"/>
    <w:rsid w:val="000F18DA"/>
    <w:rsid w:val="000F1FFA"/>
    <w:rsid w:val="000F314C"/>
    <w:rsid w:val="000F639D"/>
    <w:rsid w:val="000F6BD6"/>
    <w:rsid w:val="000F7C1B"/>
    <w:rsid w:val="00100B9C"/>
    <w:rsid w:val="00106AA9"/>
    <w:rsid w:val="00106B27"/>
    <w:rsid w:val="00110517"/>
    <w:rsid w:val="00110BD6"/>
    <w:rsid w:val="00111257"/>
    <w:rsid w:val="001119DC"/>
    <w:rsid w:val="00111B86"/>
    <w:rsid w:val="00111C26"/>
    <w:rsid w:val="00112B60"/>
    <w:rsid w:val="0011394D"/>
    <w:rsid w:val="00113A6E"/>
    <w:rsid w:val="00113EF1"/>
    <w:rsid w:val="00114B62"/>
    <w:rsid w:val="001159C9"/>
    <w:rsid w:val="00120862"/>
    <w:rsid w:val="00121A99"/>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30B3"/>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2248"/>
    <w:rsid w:val="0017455D"/>
    <w:rsid w:val="001770AF"/>
    <w:rsid w:val="001771EA"/>
    <w:rsid w:val="001800A9"/>
    <w:rsid w:val="001823E7"/>
    <w:rsid w:val="0018272D"/>
    <w:rsid w:val="0018361F"/>
    <w:rsid w:val="00190B94"/>
    <w:rsid w:val="001930D1"/>
    <w:rsid w:val="001942C5"/>
    <w:rsid w:val="00196437"/>
    <w:rsid w:val="001975AB"/>
    <w:rsid w:val="001A16DE"/>
    <w:rsid w:val="001A5D2D"/>
    <w:rsid w:val="001A73A2"/>
    <w:rsid w:val="001B096B"/>
    <w:rsid w:val="001B5B65"/>
    <w:rsid w:val="001B5F7A"/>
    <w:rsid w:val="001B6E08"/>
    <w:rsid w:val="001C0412"/>
    <w:rsid w:val="001C0F23"/>
    <w:rsid w:val="001C214F"/>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0DA1"/>
    <w:rsid w:val="001F7A25"/>
    <w:rsid w:val="002013D1"/>
    <w:rsid w:val="0020195B"/>
    <w:rsid w:val="00202E6D"/>
    <w:rsid w:val="00202F4B"/>
    <w:rsid w:val="002036C8"/>
    <w:rsid w:val="002070D9"/>
    <w:rsid w:val="002100EE"/>
    <w:rsid w:val="00211A49"/>
    <w:rsid w:val="00213BD0"/>
    <w:rsid w:val="002147AC"/>
    <w:rsid w:val="00215BFE"/>
    <w:rsid w:val="00215EF3"/>
    <w:rsid w:val="0022060B"/>
    <w:rsid w:val="00220BB1"/>
    <w:rsid w:val="00221D15"/>
    <w:rsid w:val="00222974"/>
    <w:rsid w:val="00223A59"/>
    <w:rsid w:val="00223F1C"/>
    <w:rsid w:val="002245DE"/>
    <w:rsid w:val="00224904"/>
    <w:rsid w:val="00232878"/>
    <w:rsid w:val="0023318C"/>
    <w:rsid w:val="00234AE0"/>
    <w:rsid w:val="00235F82"/>
    <w:rsid w:val="00236689"/>
    <w:rsid w:val="00237C21"/>
    <w:rsid w:val="0024200E"/>
    <w:rsid w:val="002426C3"/>
    <w:rsid w:val="002450AA"/>
    <w:rsid w:val="002456AD"/>
    <w:rsid w:val="00245F7B"/>
    <w:rsid w:val="00247891"/>
    <w:rsid w:val="002478B9"/>
    <w:rsid w:val="00251273"/>
    <w:rsid w:val="00252A2A"/>
    <w:rsid w:val="00252AA5"/>
    <w:rsid w:val="00253ADA"/>
    <w:rsid w:val="00255360"/>
    <w:rsid w:val="00256A12"/>
    <w:rsid w:val="00256CEA"/>
    <w:rsid w:val="002571B4"/>
    <w:rsid w:val="00260758"/>
    <w:rsid w:val="00260D58"/>
    <w:rsid w:val="00263755"/>
    <w:rsid w:val="0026477F"/>
    <w:rsid w:val="00264F10"/>
    <w:rsid w:val="0026510B"/>
    <w:rsid w:val="002659BA"/>
    <w:rsid w:val="0026729F"/>
    <w:rsid w:val="00270E2F"/>
    <w:rsid w:val="00271154"/>
    <w:rsid w:val="00271655"/>
    <w:rsid w:val="002805F1"/>
    <w:rsid w:val="00282C4C"/>
    <w:rsid w:val="00286EB4"/>
    <w:rsid w:val="002874A2"/>
    <w:rsid w:val="002921E2"/>
    <w:rsid w:val="0029566D"/>
    <w:rsid w:val="00295F4B"/>
    <w:rsid w:val="002A00AC"/>
    <w:rsid w:val="002A00E8"/>
    <w:rsid w:val="002A0792"/>
    <w:rsid w:val="002A1D5F"/>
    <w:rsid w:val="002A268C"/>
    <w:rsid w:val="002A2E6C"/>
    <w:rsid w:val="002B070A"/>
    <w:rsid w:val="002B0F20"/>
    <w:rsid w:val="002B14B7"/>
    <w:rsid w:val="002B297F"/>
    <w:rsid w:val="002B2C4F"/>
    <w:rsid w:val="002B38A8"/>
    <w:rsid w:val="002B5E9F"/>
    <w:rsid w:val="002B6BA0"/>
    <w:rsid w:val="002C05FF"/>
    <w:rsid w:val="002C19EA"/>
    <w:rsid w:val="002C2BCE"/>
    <w:rsid w:val="002C3EA5"/>
    <w:rsid w:val="002C480F"/>
    <w:rsid w:val="002C56C9"/>
    <w:rsid w:val="002C6A3B"/>
    <w:rsid w:val="002C7487"/>
    <w:rsid w:val="002D1923"/>
    <w:rsid w:val="002D48D1"/>
    <w:rsid w:val="002D5B56"/>
    <w:rsid w:val="002D6612"/>
    <w:rsid w:val="002D7650"/>
    <w:rsid w:val="002D7F7B"/>
    <w:rsid w:val="002E09B1"/>
    <w:rsid w:val="002E0A60"/>
    <w:rsid w:val="002E4277"/>
    <w:rsid w:val="002E5303"/>
    <w:rsid w:val="002E5674"/>
    <w:rsid w:val="002E6626"/>
    <w:rsid w:val="002E72FA"/>
    <w:rsid w:val="002E7DFF"/>
    <w:rsid w:val="002F0BE9"/>
    <w:rsid w:val="002F0E1D"/>
    <w:rsid w:val="002F13A0"/>
    <w:rsid w:val="002F1634"/>
    <w:rsid w:val="002F1848"/>
    <w:rsid w:val="002F1D70"/>
    <w:rsid w:val="002F22FA"/>
    <w:rsid w:val="002F73BA"/>
    <w:rsid w:val="003005B3"/>
    <w:rsid w:val="0030165B"/>
    <w:rsid w:val="00302340"/>
    <w:rsid w:val="00303C9C"/>
    <w:rsid w:val="00305A67"/>
    <w:rsid w:val="00306B80"/>
    <w:rsid w:val="00307038"/>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2B5C"/>
    <w:rsid w:val="00343C28"/>
    <w:rsid w:val="00344A3D"/>
    <w:rsid w:val="00344A41"/>
    <w:rsid w:val="0034575E"/>
    <w:rsid w:val="00345C65"/>
    <w:rsid w:val="00346440"/>
    <w:rsid w:val="00350CC2"/>
    <w:rsid w:val="00351206"/>
    <w:rsid w:val="0035203F"/>
    <w:rsid w:val="003528A1"/>
    <w:rsid w:val="00352A72"/>
    <w:rsid w:val="0035371B"/>
    <w:rsid w:val="00353FEB"/>
    <w:rsid w:val="00356987"/>
    <w:rsid w:val="00356FB0"/>
    <w:rsid w:val="00360429"/>
    <w:rsid w:val="00361DA5"/>
    <w:rsid w:val="00361F1D"/>
    <w:rsid w:val="00364392"/>
    <w:rsid w:val="00365E61"/>
    <w:rsid w:val="00365EFF"/>
    <w:rsid w:val="00365F51"/>
    <w:rsid w:val="00373E05"/>
    <w:rsid w:val="00375692"/>
    <w:rsid w:val="00375DB6"/>
    <w:rsid w:val="0038012F"/>
    <w:rsid w:val="00380BAB"/>
    <w:rsid w:val="00381783"/>
    <w:rsid w:val="00381A0E"/>
    <w:rsid w:val="0038751C"/>
    <w:rsid w:val="0038778B"/>
    <w:rsid w:val="00390304"/>
    <w:rsid w:val="00394451"/>
    <w:rsid w:val="0039584A"/>
    <w:rsid w:val="0039625A"/>
    <w:rsid w:val="00396E93"/>
    <w:rsid w:val="00397888"/>
    <w:rsid w:val="003A4828"/>
    <w:rsid w:val="003A64CB"/>
    <w:rsid w:val="003A6622"/>
    <w:rsid w:val="003A673F"/>
    <w:rsid w:val="003B145D"/>
    <w:rsid w:val="003B4678"/>
    <w:rsid w:val="003B4F77"/>
    <w:rsid w:val="003B502C"/>
    <w:rsid w:val="003C2CBB"/>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0758"/>
    <w:rsid w:val="0041120A"/>
    <w:rsid w:val="00411935"/>
    <w:rsid w:val="004123C8"/>
    <w:rsid w:val="0041337A"/>
    <w:rsid w:val="00413F29"/>
    <w:rsid w:val="00416A72"/>
    <w:rsid w:val="00420AE1"/>
    <w:rsid w:val="00424D0F"/>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04C9"/>
    <w:rsid w:val="004527ED"/>
    <w:rsid w:val="00455387"/>
    <w:rsid w:val="00455AAB"/>
    <w:rsid w:val="00457317"/>
    <w:rsid w:val="004611E1"/>
    <w:rsid w:val="0046165B"/>
    <w:rsid w:val="004618F6"/>
    <w:rsid w:val="00462460"/>
    <w:rsid w:val="004624E9"/>
    <w:rsid w:val="00462A13"/>
    <w:rsid w:val="00462A3D"/>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762B1"/>
    <w:rsid w:val="00480934"/>
    <w:rsid w:val="0048130C"/>
    <w:rsid w:val="00482FA5"/>
    <w:rsid w:val="00484E6E"/>
    <w:rsid w:val="00485819"/>
    <w:rsid w:val="00487D31"/>
    <w:rsid w:val="00490000"/>
    <w:rsid w:val="00491F60"/>
    <w:rsid w:val="00492026"/>
    <w:rsid w:val="004920C5"/>
    <w:rsid w:val="004925E2"/>
    <w:rsid w:val="004927D6"/>
    <w:rsid w:val="00492E16"/>
    <w:rsid w:val="004949D1"/>
    <w:rsid w:val="00494AE3"/>
    <w:rsid w:val="00494C04"/>
    <w:rsid w:val="0049557F"/>
    <w:rsid w:val="004965C3"/>
    <w:rsid w:val="0049660B"/>
    <w:rsid w:val="00497639"/>
    <w:rsid w:val="004A0574"/>
    <w:rsid w:val="004A0A41"/>
    <w:rsid w:val="004A22CF"/>
    <w:rsid w:val="004A5804"/>
    <w:rsid w:val="004A794E"/>
    <w:rsid w:val="004B142E"/>
    <w:rsid w:val="004B1C0F"/>
    <w:rsid w:val="004B25CD"/>
    <w:rsid w:val="004B3D26"/>
    <w:rsid w:val="004B44C1"/>
    <w:rsid w:val="004B623F"/>
    <w:rsid w:val="004B6EA7"/>
    <w:rsid w:val="004C11DE"/>
    <w:rsid w:val="004C13DB"/>
    <w:rsid w:val="004D00EF"/>
    <w:rsid w:val="004D14AD"/>
    <w:rsid w:val="004D376C"/>
    <w:rsid w:val="004D3864"/>
    <w:rsid w:val="004D55EC"/>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4510"/>
    <w:rsid w:val="00516673"/>
    <w:rsid w:val="00517B69"/>
    <w:rsid w:val="00520368"/>
    <w:rsid w:val="00523227"/>
    <w:rsid w:val="00523246"/>
    <w:rsid w:val="005237FD"/>
    <w:rsid w:val="005246B4"/>
    <w:rsid w:val="005252F8"/>
    <w:rsid w:val="00525F8B"/>
    <w:rsid w:val="0052651B"/>
    <w:rsid w:val="00526AAA"/>
    <w:rsid w:val="00530F1E"/>
    <w:rsid w:val="00532F0D"/>
    <w:rsid w:val="00533C06"/>
    <w:rsid w:val="00533E30"/>
    <w:rsid w:val="0053401E"/>
    <w:rsid w:val="00535AAB"/>
    <w:rsid w:val="00540B8E"/>
    <w:rsid w:val="00542636"/>
    <w:rsid w:val="00543DF0"/>
    <w:rsid w:val="00544AB5"/>
    <w:rsid w:val="00545D1C"/>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404"/>
    <w:rsid w:val="005728BC"/>
    <w:rsid w:val="00573F1D"/>
    <w:rsid w:val="0057421A"/>
    <w:rsid w:val="00574839"/>
    <w:rsid w:val="005759E4"/>
    <w:rsid w:val="00575AE8"/>
    <w:rsid w:val="00575E1D"/>
    <w:rsid w:val="00576089"/>
    <w:rsid w:val="005819D2"/>
    <w:rsid w:val="00582374"/>
    <w:rsid w:val="00582DF8"/>
    <w:rsid w:val="00583800"/>
    <w:rsid w:val="00584BC6"/>
    <w:rsid w:val="0058559D"/>
    <w:rsid w:val="005856F2"/>
    <w:rsid w:val="00585A3B"/>
    <w:rsid w:val="00586D7A"/>
    <w:rsid w:val="0059070B"/>
    <w:rsid w:val="00590FA0"/>
    <w:rsid w:val="00593EFC"/>
    <w:rsid w:val="00594F73"/>
    <w:rsid w:val="0059537A"/>
    <w:rsid w:val="005957D1"/>
    <w:rsid w:val="00597215"/>
    <w:rsid w:val="005A0FD0"/>
    <w:rsid w:val="005A1468"/>
    <w:rsid w:val="005A3F58"/>
    <w:rsid w:val="005A4536"/>
    <w:rsid w:val="005A5AF2"/>
    <w:rsid w:val="005A742F"/>
    <w:rsid w:val="005A7C78"/>
    <w:rsid w:val="005B4F6C"/>
    <w:rsid w:val="005B5AA9"/>
    <w:rsid w:val="005B7055"/>
    <w:rsid w:val="005C4763"/>
    <w:rsid w:val="005C4DB7"/>
    <w:rsid w:val="005C5DC8"/>
    <w:rsid w:val="005C661E"/>
    <w:rsid w:val="005C7258"/>
    <w:rsid w:val="005D1E9E"/>
    <w:rsid w:val="005D48C8"/>
    <w:rsid w:val="005D58CE"/>
    <w:rsid w:val="005D6DB4"/>
    <w:rsid w:val="005E0B69"/>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6CC"/>
    <w:rsid w:val="005F7DEC"/>
    <w:rsid w:val="005F7E35"/>
    <w:rsid w:val="006009F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38F2"/>
    <w:rsid w:val="00626DD6"/>
    <w:rsid w:val="0062719D"/>
    <w:rsid w:val="00627FDF"/>
    <w:rsid w:val="00630296"/>
    <w:rsid w:val="006331E3"/>
    <w:rsid w:val="00633776"/>
    <w:rsid w:val="00633C62"/>
    <w:rsid w:val="0063429C"/>
    <w:rsid w:val="00635F65"/>
    <w:rsid w:val="006361F0"/>
    <w:rsid w:val="006372A4"/>
    <w:rsid w:val="006375ED"/>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EBC"/>
    <w:rsid w:val="00667637"/>
    <w:rsid w:val="00667BE8"/>
    <w:rsid w:val="0067150D"/>
    <w:rsid w:val="00673A29"/>
    <w:rsid w:val="00673AD9"/>
    <w:rsid w:val="00674674"/>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2200"/>
    <w:rsid w:val="006C3252"/>
    <w:rsid w:val="006C7110"/>
    <w:rsid w:val="006C7A04"/>
    <w:rsid w:val="006D158F"/>
    <w:rsid w:val="006D1B83"/>
    <w:rsid w:val="006D1BE7"/>
    <w:rsid w:val="006D3590"/>
    <w:rsid w:val="006D5C98"/>
    <w:rsid w:val="006D6FCC"/>
    <w:rsid w:val="006E06C5"/>
    <w:rsid w:val="006E0A9F"/>
    <w:rsid w:val="006E12D5"/>
    <w:rsid w:val="006E1EDC"/>
    <w:rsid w:val="006E26E8"/>
    <w:rsid w:val="006E4493"/>
    <w:rsid w:val="006E76B0"/>
    <w:rsid w:val="006F08D4"/>
    <w:rsid w:val="006F0C72"/>
    <w:rsid w:val="006F3318"/>
    <w:rsid w:val="006F39CF"/>
    <w:rsid w:val="006F4894"/>
    <w:rsid w:val="006F58F5"/>
    <w:rsid w:val="006F676D"/>
    <w:rsid w:val="00700672"/>
    <w:rsid w:val="00701319"/>
    <w:rsid w:val="00701A95"/>
    <w:rsid w:val="00702627"/>
    <w:rsid w:val="00702F7C"/>
    <w:rsid w:val="00706127"/>
    <w:rsid w:val="007077CD"/>
    <w:rsid w:val="007100B5"/>
    <w:rsid w:val="0071230E"/>
    <w:rsid w:val="00712A93"/>
    <w:rsid w:val="00714CF1"/>
    <w:rsid w:val="00715CEB"/>
    <w:rsid w:val="00717A58"/>
    <w:rsid w:val="00722924"/>
    <w:rsid w:val="00723D30"/>
    <w:rsid w:val="00723F1A"/>
    <w:rsid w:val="00726974"/>
    <w:rsid w:val="007306BB"/>
    <w:rsid w:val="007319AD"/>
    <w:rsid w:val="00731BE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76E"/>
    <w:rsid w:val="00753BFA"/>
    <w:rsid w:val="00754C7E"/>
    <w:rsid w:val="007557BC"/>
    <w:rsid w:val="007608F0"/>
    <w:rsid w:val="00762976"/>
    <w:rsid w:val="00766752"/>
    <w:rsid w:val="00766834"/>
    <w:rsid w:val="00766EC7"/>
    <w:rsid w:val="0077082D"/>
    <w:rsid w:val="0077181C"/>
    <w:rsid w:val="00771AF0"/>
    <w:rsid w:val="0077499E"/>
    <w:rsid w:val="00774D8E"/>
    <w:rsid w:val="0077508F"/>
    <w:rsid w:val="007752E2"/>
    <w:rsid w:val="00781F5F"/>
    <w:rsid w:val="00783479"/>
    <w:rsid w:val="00783696"/>
    <w:rsid w:val="00783D3E"/>
    <w:rsid w:val="00784B5D"/>
    <w:rsid w:val="00785DB0"/>
    <w:rsid w:val="00791384"/>
    <w:rsid w:val="00791D74"/>
    <w:rsid w:val="00791E5B"/>
    <w:rsid w:val="007931D7"/>
    <w:rsid w:val="007949B4"/>
    <w:rsid w:val="0079543F"/>
    <w:rsid w:val="0079708B"/>
    <w:rsid w:val="0079779E"/>
    <w:rsid w:val="007A6DC9"/>
    <w:rsid w:val="007A71B5"/>
    <w:rsid w:val="007A797E"/>
    <w:rsid w:val="007B1216"/>
    <w:rsid w:val="007B255F"/>
    <w:rsid w:val="007B55C5"/>
    <w:rsid w:val="007C0579"/>
    <w:rsid w:val="007C0E7E"/>
    <w:rsid w:val="007C10CC"/>
    <w:rsid w:val="007C250E"/>
    <w:rsid w:val="007C2CD7"/>
    <w:rsid w:val="007C6AE4"/>
    <w:rsid w:val="007C71F9"/>
    <w:rsid w:val="007D009C"/>
    <w:rsid w:val="007D2162"/>
    <w:rsid w:val="007D5A53"/>
    <w:rsid w:val="007D62D9"/>
    <w:rsid w:val="007D6A5B"/>
    <w:rsid w:val="007D73C9"/>
    <w:rsid w:val="007D79DF"/>
    <w:rsid w:val="007E1FB4"/>
    <w:rsid w:val="007E28C1"/>
    <w:rsid w:val="007E786E"/>
    <w:rsid w:val="007F0840"/>
    <w:rsid w:val="007F2086"/>
    <w:rsid w:val="007F67A7"/>
    <w:rsid w:val="007F6F0A"/>
    <w:rsid w:val="00800773"/>
    <w:rsid w:val="00801004"/>
    <w:rsid w:val="0080111C"/>
    <w:rsid w:val="00801EFD"/>
    <w:rsid w:val="00802F52"/>
    <w:rsid w:val="008058BC"/>
    <w:rsid w:val="00806D7C"/>
    <w:rsid w:val="00807854"/>
    <w:rsid w:val="00811012"/>
    <w:rsid w:val="00811A90"/>
    <w:rsid w:val="008136C6"/>
    <w:rsid w:val="00813846"/>
    <w:rsid w:val="00814325"/>
    <w:rsid w:val="00815C4F"/>
    <w:rsid w:val="008161C2"/>
    <w:rsid w:val="00816942"/>
    <w:rsid w:val="0081738B"/>
    <w:rsid w:val="0082026A"/>
    <w:rsid w:val="008219BA"/>
    <w:rsid w:val="008237E5"/>
    <w:rsid w:val="00824136"/>
    <w:rsid w:val="00826075"/>
    <w:rsid w:val="008267CA"/>
    <w:rsid w:val="00826A19"/>
    <w:rsid w:val="008312D4"/>
    <w:rsid w:val="008317C8"/>
    <w:rsid w:val="00831891"/>
    <w:rsid w:val="00831915"/>
    <w:rsid w:val="00832ACE"/>
    <w:rsid w:val="0083305B"/>
    <w:rsid w:val="00834578"/>
    <w:rsid w:val="0083648B"/>
    <w:rsid w:val="00836500"/>
    <w:rsid w:val="00841EAB"/>
    <w:rsid w:val="00844977"/>
    <w:rsid w:val="00844B97"/>
    <w:rsid w:val="00845BB4"/>
    <w:rsid w:val="008464F9"/>
    <w:rsid w:val="00847302"/>
    <w:rsid w:val="00847BF3"/>
    <w:rsid w:val="00852A15"/>
    <w:rsid w:val="00853D0B"/>
    <w:rsid w:val="00854B16"/>
    <w:rsid w:val="00854BCA"/>
    <w:rsid w:val="00854F8B"/>
    <w:rsid w:val="00855A43"/>
    <w:rsid w:val="008561BF"/>
    <w:rsid w:val="00861E25"/>
    <w:rsid w:val="008633B6"/>
    <w:rsid w:val="0086402F"/>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FDC"/>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0DB6"/>
    <w:rsid w:val="008C257C"/>
    <w:rsid w:val="008D0FDE"/>
    <w:rsid w:val="008D1051"/>
    <w:rsid w:val="008D22BE"/>
    <w:rsid w:val="008D7542"/>
    <w:rsid w:val="008D7F7C"/>
    <w:rsid w:val="008E0835"/>
    <w:rsid w:val="008E16ED"/>
    <w:rsid w:val="008E280E"/>
    <w:rsid w:val="008E2BA7"/>
    <w:rsid w:val="008E5642"/>
    <w:rsid w:val="008E5CC2"/>
    <w:rsid w:val="008F0EA3"/>
    <w:rsid w:val="008F2E20"/>
    <w:rsid w:val="008F7EA6"/>
    <w:rsid w:val="00900BC5"/>
    <w:rsid w:val="00901036"/>
    <w:rsid w:val="00904136"/>
    <w:rsid w:val="00904309"/>
    <w:rsid w:val="0090479F"/>
    <w:rsid w:val="00904BFC"/>
    <w:rsid w:val="00906692"/>
    <w:rsid w:val="00906853"/>
    <w:rsid w:val="00906CF8"/>
    <w:rsid w:val="009073CB"/>
    <w:rsid w:val="0090752A"/>
    <w:rsid w:val="00910342"/>
    <w:rsid w:val="00910805"/>
    <w:rsid w:val="00911A42"/>
    <w:rsid w:val="00912D60"/>
    <w:rsid w:val="009140A2"/>
    <w:rsid w:val="009141D0"/>
    <w:rsid w:val="00920480"/>
    <w:rsid w:val="00920D01"/>
    <w:rsid w:val="00923B20"/>
    <w:rsid w:val="00925A59"/>
    <w:rsid w:val="009263DF"/>
    <w:rsid w:val="00926E84"/>
    <w:rsid w:val="00927338"/>
    <w:rsid w:val="0093018E"/>
    <w:rsid w:val="0093167C"/>
    <w:rsid w:val="00932A3A"/>
    <w:rsid w:val="00934143"/>
    <w:rsid w:val="00934679"/>
    <w:rsid w:val="00935444"/>
    <w:rsid w:val="00935C1F"/>
    <w:rsid w:val="00936C85"/>
    <w:rsid w:val="009378F0"/>
    <w:rsid w:val="00942696"/>
    <w:rsid w:val="00942EB6"/>
    <w:rsid w:val="0094307C"/>
    <w:rsid w:val="00944802"/>
    <w:rsid w:val="009470DD"/>
    <w:rsid w:val="009518D9"/>
    <w:rsid w:val="0095236F"/>
    <w:rsid w:val="00952404"/>
    <w:rsid w:val="00953350"/>
    <w:rsid w:val="00955BDA"/>
    <w:rsid w:val="0096328F"/>
    <w:rsid w:val="009656DE"/>
    <w:rsid w:val="00965F52"/>
    <w:rsid w:val="0096737A"/>
    <w:rsid w:val="009674C6"/>
    <w:rsid w:val="0097392A"/>
    <w:rsid w:val="009749C0"/>
    <w:rsid w:val="00977C0A"/>
    <w:rsid w:val="00982FF8"/>
    <w:rsid w:val="00983772"/>
    <w:rsid w:val="00984E8B"/>
    <w:rsid w:val="0098512F"/>
    <w:rsid w:val="0098550A"/>
    <w:rsid w:val="00985728"/>
    <w:rsid w:val="009857DD"/>
    <w:rsid w:val="009859AB"/>
    <w:rsid w:val="00987A4E"/>
    <w:rsid w:val="009907A9"/>
    <w:rsid w:val="00993B22"/>
    <w:rsid w:val="00993DE4"/>
    <w:rsid w:val="00993F38"/>
    <w:rsid w:val="00994A4B"/>
    <w:rsid w:val="00996D25"/>
    <w:rsid w:val="009A043C"/>
    <w:rsid w:val="009A12ED"/>
    <w:rsid w:val="009A201F"/>
    <w:rsid w:val="009A62FC"/>
    <w:rsid w:val="009A6989"/>
    <w:rsid w:val="009A72EB"/>
    <w:rsid w:val="009B0942"/>
    <w:rsid w:val="009B105E"/>
    <w:rsid w:val="009B2B4E"/>
    <w:rsid w:val="009B396E"/>
    <w:rsid w:val="009B39A2"/>
    <w:rsid w:val="009B3B97"/>
    <w:rsid w:val="009B49F3"/>
    <w:rsid w:val="009B4E5D"/>
    <w:rsid w:val="009B5154"/>
    <w:rsid w:val="009B567A"/>
    <w:rsid w:val="009C29C5"/>
    <w:rsid w:val="009C4E6C"/>
    <w:rsid w:val="009C5C75"/>
    <w:rsid w:val="009D1C23"/>
    <w:rsid w:val="009D2A29"/>
    <w:rsid w:val="009D59DE"/>
    <w:rsid w:val="009E1362"/>
    <w:rsid w:val="009E1848"/>
    <w:rsid w:val="009E1BC1"/>
    <w:rsid w:val="009E1F6B"/>
    <w:rsid w:val="009E3535"/>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1645E"/>
    <w:rsid w:val="00A20EBA"/>
    <w:rsid w:val="00A20F2F"/>
    <w:rsid w:val="00A211A3"/>
    <w:rsid w:val="00A21641"/>
    <w:rsid w:val="00A2357E"/>
    <w:rsid w:val="00A24629"/>
    <w:rsid w:val="00A25A27"/>
    <w:rsid w:val="00A26FA4"/>
    <w:rsid w:val="00A27485"/>
    <w:rsid w:val="00A30038"/>
    <w:rsid w:val="00A309E8"/>
    <w:rsid w:val="00A3514D"/>
    <w:rsid w:val="00A35318"/>
    <w:rsid w:val="00A40F98"/>
    <w:rsid w:val="00A41EF2"/>
    <w:rsid w:val="00A42619"/>
    <w:rsid w:val="00A4267D"/>
    <w:rsid w:val="00A427B2"/>
    <w:rsid w:val="00A43DEB"/>
    <w:rsid w:val="00A44DDA"/>
    <w:rsid w:val="00A47D62"/>
    <w:rsid w:val="00A53CDD"/>
    <w:rsid w:val="00A53EE6"/>
    <w:rsid w:val="00A5538A"/>
    <w:rsid w:val="00A55EE0"/>
    <w:rsid w:val="00A564AE"/>
    <w:rsid w:val="00A57A4A"/>
    <w:rsid w:val="00A57C0E"/>
    <w:rsid w:val="00A60380"/>
    <w:rsid w:val="00A614EB"/>
    <w:rsid w:val="00A61D2D"/>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1DD7"/>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B79DB"/>
    <w:rsid w:val="00AC06B6"/>
    <w:rsid w:val="00AC1A7F"/>
    <w:rsid w:val="00AC7830"/>
    <w:rsid w:val="00AD0466"/>
    <w:rsid w:val="00AD1557"/>
    <w:rsid w:val="00AD35F3"/>
    <w:rsid w:val="00AD44E9"/>
    <w:rsid w:val="00AD4CAC"/>
    <w:rsid w:val="00AD528F"/>
    <w:rsid w:val="00AD6760"/>
    <w:rsid w:val="00AD6EB3"/>
    <w:rsid w:val="00AD741D"/>
    <w:rsid w:val="00AD751D"/>
    <w:rsid w:val="00AD791C"/>
    <w:rsid w:val="00AE1C60"/>
    <w:rsid w:val="00AE4F42"/>
    <w:rsid w:val="00AE5BAE"/>
    <w:rsid w:val="00AE728D"/>
    <w:rsid w:val="00AE7589"/>
    <w:rsid w:val="00AE798E"/>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1769"/>
    <w:rsid w:val="00B52215"/>
    <w:rsid w:val="00B530CA"/>
    <w:rsid w:val="00B53AC4"/>
    <w:rsid w:val="00B54527"/>
    <w:rsid w:val="00B57ADA"/>
    <w:rsid w:val="00B61EE9"/>
    <w:rsid w:val="00B642F5"/>
    <w:rsid w:val="00B6496C"/>
    <w:rsid w:val="00B65962"/>
    <w:rsid w:val="00B66573"/>
    <w:rsid w:val="00B66B6C"/>
    <w:rsid w:val="00B7033E"/>
    <w:rsid w:val="00B7071A"/>
    <w:rsid w:val="00B71858"/>
    <w:rsid w:val="00B71A39"/>
    <w:rsid w:val="00B721DC"/>
    <w:rsid w:val="00B74715"/>
    <w:rsid w:val="00B7669D"/>
    <w:rsid w:val="00B766D9"/>
    <w:rsid w:val="00B80A28"/>
    <w:rsid w:val="00B82D73"/>
    <w:rsid w:val="00B84A2C"/>
    <w:rsid w:val="00B850D8"/>
    <w:rsid w:val="00B854D5"/>
    <w:rsid w:val="00B871D6"/>
    <w:rsid w:val="00B87A02"/>
    <w:rsid w:val="00B96204"/>
    <w:rsid w:val="00BA0DCC"/>
    <w:rsid w:val="00BA12A2"/>
    <w:rsid w:val="00BA16EF"/>
    <w:rsid w:val="00BA18D0"/>
    <w:rsid w:val="00BA242E"/>
    <w:rsid w:val="00BA2ABF"/>
    <w:rsid w:val="00BA3317"/>
    <w:rsid w:val="00BA3882"/>
    <w:rsid w:val="00BA5A9D"/>
    <w:rsid w:val="00BA6363"/>
    <w:rsid w:val="00BB2D9C"/>
    <w:rsid w:val="00BB3512"/>
    <w:rsid w:val="00BB5D1E"/>
    <w:rsid w:val="00BB62CC"/>
    <w:rsid w:val="00BB7ED6"/>
    <w:rsid w:val="00BC137A"/>
    <w:rsid w:val="00BC20CC"/>
    <w:rsid w:val="00BC4347"/>
    <w:rsid w:val="00BC45E0"/>
    <w:rsid w:val="00BC4C50"/>
    <w:rsid w:val="00BC54B5"/>
    <w:rsid w:val="00BC5D9D"/>
    <w:rsid w:val="00BC60E1"/>
    <w:rsid w:val="00BC623F"/>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717E"/>
    <w:rsid w:val="00BE7E27"/>
    <w:rsid w:val="00BF183C"/>
    <w:rsid w:val="00BF48BB"/>
    <w:rsid w:val="00BF4C15"/>
    <w:rsid w:val="00C0277D"/>
    <w:rsid w:val="00C0782F"/>
    <w:rsid w:val="00C11F50"/>
    <w:rsid w:val="00C12603"/>
    <w:rsid w:val="00C12C7C"/>
    <w:rsid w:val="00C131FD"/>
    <w:rsid w:val="00C15322"/>
    <w:rsid w:val="00C16DA8"/>
    <w:rsid w:val="00C17352"/>
    <w:rsid w:val="00C21959"/>
    <w:rsid w:val="00C24EDC"/>
    <w:rsid w:val="00C30A7D"/>
    <w:rsid w:val="00C31169"/>
    <w:rsid w:val="00C3169F"/>
    <w:rsid w:val="00C318F6"/>
    <w:rsid w:val="00C37522"/>
    <w:rsid w:val="00C42EFD"/>
    <w:rsid w:val="00C43D8B"/>
    <w:rsid w:val="00C44042"/>
    <w:rsid w:val="00C46AF0"/>
    <w:rsid w:val="00C519B7"/>
    <w:rsid w:val="00C52956"/>
    <w:rsid w:val="00C53AE1"/>
    <w:rsid w:val="00C53CAD"/>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830A3"/>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283D"/>
    <w:rsid w:val="00CC4E55"/>
    <w:rsid w:val="00CC550E"/>
    <w:rsid w:val="00CC5AC6"/>
    <w:rsid w:val="00CD0DCE"/>
    <w:rsid w:val="00CD1628"/>
    <w:rsid w:val="00CD1D27"/>
    <w:rsid w:val="00CD27B7"/>
    <w:rsid w:val="00CD3807"/>
    <w:rsid w:val="00CD3AE7"/>
    <w:rsid w:val="00CD3C10"/>
    <w:rsid w:val="00CD5194"/>
    <w:rsid w:val="00CD5981"/>
    <w:rsid w:val="00CD5D25"/>
    <w:rsid w:val="00CD79FA"/>
    <w:rsid w:val="00CE10E6"/>
    <w:rsid w:val="00CE59A8"/>
    <w:rsid w:val="00CE657B"/>
    <w:rsid w:val="00CF0873"/>
    <w:rsid w:val="00CF237E"/>
    <w:rsid w:val="00CF3FB0"/>
    <w:rsid w:val="00CF515D"/>
    <w:rsid w:val="00CF53F5"/>
    <w:rsid w:val="00CF6B3F"/>
    <w:rsid w:val="00D002B4"/>
    <w:rsid w:val="00D01404"/>
    <w:rsid w:val="00D02C52"/>
    <w:rsid w:val="00D03845"/>
    <w:rsid w:val="00D03DCB"/>
    <w:rsid w:val="00D05257"/>
    <w:rsid w:val="00D054DF"/>
    <w:rsid w:val="00D057A5"/>
    <w:rsid w:val="00D05D1F"/>
    <w:rsid w:val="00D07B9C"/>
    <w:rsid w:val="00D111F1"/>
    <w:rsid w:val="00D144D0"/>
    <w:rsid w:val="00D14FC0"/>
    <w:rsid w:val="00D163A3"/>
    <w:rsid w:val="00D1656D"/>
    <w:rsid w:val="00D167CC"/>
    <w:rsid w:val="00D16943"/>
    <w:rsid w:val="00D211AE"/>
    <w:rsid w:val="00D21662"/>
    <w:rsid w:val="00D23DE4"/>
    <w:rsid w:val="00D23F50"/>
    <w:rsid w:val="00D24867"/>
    <w:rsid w:val="00D318E3"/>
    <w:rsid w:val="00D31E3A"/>
    <w:rsid w:val="00D323A7"/>
    <w:rsid w:val="00D346BF"/>
    <w:rsid w:val="00D34A4B"/>
    <w:rsid w:val="00D416EB"/>
    <w:rsid w:val="00D41B20"/>
    <w:rsid w:val="00D44615"/>
    <w:rsid w:val="00D44BE9"/>
    <w:rsid w:val="00D45321"/>
    <w:rsid w:val="00D50324"/>
    <w:rsid w:val="00D5202B"/>
    <w:rsid w:val="00D52613"/>
    <w:rsid w:val="00D55A28"/>
    <w:rsid w:val="00D5605F"/>
    <w:rsid w:val="00D57BC9"/>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7183"/>
    <w:rsid w:val="00DF1DAC"/>
    <w:rsid w:val="00DF2165"/>
    <w:rsid w:val="00DF35F1"/>
    <w:rsid w:val="00DF5A24"/>
    <w:rsid w:val="00DF60E6"/>
    <w:rsid w:val="00DF6105"/>
    <w:rsid w:val="00DF659E"/>
    <w:rsid w:val="00E01524"/>
    <w:rsid w:val="00E05BDE"/>
    <w:rsid w:val="00E07C16"/>
    <w:rsid w:val="00E1021D"/>
    <w:rsid w:val="00E11871"/>
    <w:rsid w:val="00E1428E"/>
    <w:rsid w:val="00E14900"/>
    <w:rsid w:val="00E2049E"/>
    <w:rsid w:val="00E218D3"/>
    <w:rsid w:val="00E22321"/>
    <w:rsid w:val="00E229ED"/>
    <w:rsid w:val="00E23091"/>
    <w:rsid w:val="00E23E21"/>
    <w:rsid w:val="00E245A0"/>
    <w:rsid w:val="00E25964"/>
    <w:rsid w:val="00E25E66"/>
    <w:rsid w:val="00E25E9F"/>
    <w:rsid w:val="00E2658F"/>
    <w:rsid w:val="00E27565"/>
    <w:rsid w:val="00E30DE6"/>
    <w:rsid w:val="00E31944"/>
    <w:rsid w:val="00E32395"/>
    <w:rsid w:val="00E32E0D"/>
    <w:rsid w:val="00E32F20"/>
    <w:rsid w:val="00E332E3"/>
    <w:rsid w:val="00E35435"/>
    <w:rsid w:val="00E37194"/>
    <w:rsid w:val="00E3788B"/>
    <w:rsid w:val="00E40C6A"/>
    <w:rsid w:val="00E410A7"/>
    <w:rsid w:val="00E410B7"/>
    <w:rsid w:val="00E43977"/>
    <w:rsid w:val="00E4415D"/>
    <w:rsid w:val="00E44AB1"/>
    <w:rsid w:val="00E44AB8"/>
    <w:rsid w:val="00E47A70"/>
    <w:rsid w:val="00E47BD8"/>
    <w:rsid w:val="00E50D3F"/>
    <w:rsid w:val="00E520BE"/>
    <w:rsid w:val="00E5484A"/>
    <w:rsid w:val="00E54E17"/>
    <w:rsid w:val="00E56A7A"/>
    <w:rsid w:val="00E60419"/>
    <w:rsid w:val="00E60E01"/>
    <w:rsid w:val="00E617D3"/>
    <w:rsid w:val="00E61E36"/>
    <w:rsid w:val="00E633C1"/>
    <w:rsid w:val="00E667B0"/>
    <w:rsid w:val="00E67390"/>
    <w:rsid w:val="00E71365"/>
    <w:rsid w:val="00E74904"/>
    <w:rsid w:val="00E770A4"/>
    <w:rsid w:val="00E8097A"/>
    <w:rsid w:val="00E80D4B"/>
    <w:rsid w:val="00E81192"/>
    <w:rsid w:val="00E83B51"/>
    <w:rsid w:val="00E8626C"/>
    <w:rsid w:val="00E8663B"/>
    <w:rsid w:val="00E86BDE"/>
    <w:rsid w:val="00E87383"/>
    <w:rsid w:val="00E8762F"/>
    <w:rsid w:val="00E906EB"/>
    <w:rsid w:val="00E90AB8"/>
    <w:rsid w:val="00E919D9"/>
    <w:rsid w:val="00E921C1"/>
    <w:rsid w:val="00E93C8B"/>
    <w:rsid w:val="00E93D8F"/>
    <w:rsid w:val="00E9531E"/>
    <w:rsid w:val="00E95A8E"/>
    <w:rsid w:val="00E95E41"/>
    <w:rsid w:val="00E95E4C"/>
    <w:rsid w:val="00E977CE"/>
    <w:rsid w:val="00E97E05"/>
    <w:rsid w:val="00EA1370"/>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0ADF"/>
    <w:rsid w:val="00ED1F02"/>
    <w:rsid w:val="00ED213D"/>
    <w:rsid w:val="00EE15B5"/>
    <w:rsid w:val="00EE2087"/>
    <w:rsid w:val="00EE20A1"/>
    <w:rsid w:val="00EE2468"/>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20F5"/>
    <w:rsid w:val="00F13F39"/>
    <w:rsid w:val="00F14A70"/>
    <w:rsid w:val="00F14B9B"/>
    <w:rsid w:val="00F14CCC"/>
    <w:rsid w:val="00F17988"/>
    <w:rsid w:val="00F20C09"/>
    <w:rsid w:val="00F217DF"/>
    <w:rsid w:val="00F21CAE"/>
    <w:rsid w:val="00F22AE0"/>
    <w:rsid w:val="00F2601A"/>
    <w:rsid w:val="00F26701"/>
    <w:rsid w:val="00F3064F"/>
    <w:rsid w:val="00F310D7"/>
    <w:rsid w:val="00F361BD"/>
    <w:rsid w:val="00F368B9"/>
    <w:rsid w:val="00F3739F"/>
    <w:rsid w:val="00F374C1"/>
    <w:rsid w:val="00F37B34"/>
    <w:rsid w:val="00F41C34"/>
    <w:rsid w:val="00F4212F"/>
    <w:rsid w:val="00F447DB"/>
    <w:rsid w:val="00F447FA"/>
    <w:rsid w:val="00F469B9"/>
    <w:rsid w:val="00F46C32"/>
    <w:rsid w:val="00F46CAF"/>
    <w:rsid w:val="00F46ECB"/>
    <w:rsid w:val="00F50F94"/>
    <w:rsid w:val="00F525B5"/>
    <w:rsid w:val="00F53D53"/>
    <w:rsid w:val="00F543B9"/>
    <w:rsid w:val="00F56177"/>
    <w:rsid w:val="00F56187"/>
    <w:rsid w:val="00F5755A"/>
    <w:rsid w:val="00F575D3"/>
    <w:rsid w:val="00F5786C"/>
    <w:rsid w:val="00F62117"/>
    <w:rsid w:val="00F62365"/>
    <w:rsid w:val="00F630A7"/>
    <w:rsid w:val="00F66225"/>
    <w:rsid w:val="00F662BC"/>
    <w:rsid w:val="00F6708D"/>
    <w:rsid w:val="00F707F0"/>
    <w:rsid w:val="00F71AD5"/>
    <w:rsid w:val="00F729ED"/>
    <w:rsid w:val="00F733B8"/>
    <w:rsid w:val="00F74F50"/>
    <w:rsid w:val="00F74FDD"/>
    <w:rsid w:val="00F75192"/>
    <w:rsid w:val="00F77822"/>
    <w:rsid w:val="00F838B6"/>
    <w:rsid w:val="00F83B0D"/>
    <w:rsid w:val="00F83C31"/>
    <w:rsid w:val="00F85F05"/>
    <w:rsid w:val="00F86AD1"/>
    <w:rsid w:val="00F9222A"/>
    <w:rsid w:val="00F922EA"/>
    <w:rsid w:val="00F923CE"/>
    <w:rsid w:val="00F92927"/>
    <w:rsid w:val="00F949E0"/>
    <w:rsid w:val="00F94F0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2A7C"/>
    <w:rsid w:val="00FD332F"/>
    <w:rsid w:val="00FD7395"/>
    <w:rsid w:val="00FE1CC1"/>
    <w:rsid w:val="00FE385E"/>
    <w:rsid w:val="00FE3CE2"/>
    <w:rsid w:val="00FE54AD"/>
    <w:rsid w:val="00FE5633"/>
    <w:rsid w:val="00FE5D9E"/>
    <w:rsid w:val="00FE6F7A"/>
    <w:rsid w:val="00FE71A7"/>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3C3D4E3D"/>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paragraph" w:styleId="Ttulo3">
    <w:name w:val="heading 3"/>
    <w:basedOn w:val="Normal"/>
    <w:next w:val="Normal"/>
    <w:link w:val="Ttulo3Char"/>
    <w:uiPriority w:val="9"/>
    <w:unhideWhenUsed/>
    <w:qFormat/>
    <w:rsid w:val="000F6B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table" w:styleId="Tabelacomgrade">
    <w:name w:val="Table Grid"/>
    <w:basedOn w:val="Tabelanormal"/>
    <w:uiPriority w:val="59"/>
    <w:rsid w:val="00A2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1">
    <w:name w:val="Grid Table 2 Accent 1"/>
    <w:basedOn w:val="Tabelanormal"/>
    <w:uiPriority w:val="47"/>
    <w:rsid w:val="00A2164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lsinformativotextotitulo">
    <w:name w:val="clsinformativotextotitulo"/>
    <w:basedOn w:val="Fontepargpadro"/>
    <w:rsid w:val="004D55EC"/>
  </w:style>
  <w:style w:type="character" w:customStyle="1" w:styleId="clsinformativotexto">
    <w:name w:val="clsinformativotexto"/>
    <w:basedOn w:val="Fontepargpadro"/>
    <w:rsid w:val="004D55EC"/>
  </w:style>
  <w:style w:type="character" w:customStyle="1" w:styleId="Ttulo3Char">
    <w:name w:val="Título 3 Char"/>
    <w:basedOn w:val="Fontepargpadro"/>
    <w:link w:val="Ttulo3"/>
    <w:uiPriority w:val="9"/>
    <w:rsid w:val="000F6BD6"/>
    <w:rPr>
      <w:rFonts w:asciiTheme="majorHAnsi" w:eastAsiaTheme="majorEastAsia" w:hAnsiTheme="majorHAnsi" w:cstheme="majorBidi"/>
      <w:color w:val="243F60" w:themeColor="accent1" w:themeShade="7F"/>
      <w:sz w:val="24"/>
      <w:szCs w:val="24"/>
    </w:rPr>
  </w:style>
  <w:style w:type="paragraph" w:styleId="Pr-formataoHTML">
    <w:name w:val="HTML Preformatted"/>
    <w:basedOn w:val="Normal"/>
    <w:link w:val="Pr-formataoHTMLChar"/>
    <w:uiPriority w:val="99"/>
    <w:semiHidden/>
    <w:unhideWhenUsed/>
    <w:rsid w:val="00143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430B3"/>
    <w:rPr>
      <w:rFonts w:ascii="Courier New" w:eastAsia="Times New Roman" w:hAnsi="Courier New" w:cs="Courier New"/>
      <w:sz w:val="20"/>
      <w:szCs w:val="20"/>
      <w:lang w:eastAsia="pt-BR"/>
    </w:rPr>
  </w:style>
  <w:style w:type="character" w:customStyle="1" w:styleId="highlightbrs">
    <w:name w:val="highlightbrs"/>
    <w:basedOn w:val="Fontepargpadro"/>
    <w:rsid w:val="001430B3"/>
  </w:style>
  <w:style w:type="paragraph" w:customStyle="1" w:styleId="noticia-resumo">
    <w:name w:val="noticia-resumo"/>
    <w:basedOn w:val="Normal"/>
    <w:rsid w:val="002C6A3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67064266">
      <w:bodyDiv w:val="1"/>
      <w:marLeft w:val="0"/>
      <w:marRight w:val="0"/>
      <w:marTop w:val="0"/>
      <w:marBottom w:val="0"/>
      <w:divBdr>
        <w:top w:val="none" w:sz="0" w:space="0" w:color="auto"/>
        <w:left w:val="none" w:sz="0" w:space="0" w:color="auto"/>
        <w:bottom w:val="none" w:sz="0" w:space="0" w:color="auto"/>
        <w:right w:val="none" w:sz="0" w:space="0" w:color="auto"/>
      </w:divBdr>
    </w:div>
    <w:div w:id="172913996">
      <w:bodyDiv w:val="1"/>
      <w:marLeft w:val="0"/>
      <w:marRight w:val="0"/>
      <w:marTop w:val="0"/>
      <w:marBottom w:val="0"/>
      <w:divBdr>
        <w:top w:val="none" w:sz="0" w:space="0" w:color="auto"/>
        <w:left w:val="none" w:sz="0" w:space="0" w:color="auto"/>
        <w:bottom w:val="none" w:sz="0" w:space="0" w:color="auto"/>
        <w:right w:val="none" w:sz="0" w:space="0" w:color="auto"/>
      </w:divBdr>
      <w:divsChild>
        <w:div w:id="443159686">
          <w:marLeft w:val="0"/>
          <w:marRight w:val="0"/>
          <w:marTop w:val="75"/>
          <w:marBottom w:val="0"/>
          <w:divBdr>
            <w:top w:val="none" w:sz="0" w:space="0" w:color="auto"/>
            <w:left w:val="none" w:sz="0" w:space="0" w:color="auto"/>
            <w:bottom w:val="none" w:sz="0" w:space="0" w:color="auto"/>
            <w:right w:val="none" w:sz="0" w:space="0" w:color="auto"/>
          </w:divBdr>
        </w:div>
        <w:div w:id="1500340378">
          <w:marLeft w:val="0"/>
          <w:marRight w:val="0"/>
          <w:marTop w:val="75"/>
          <w:marBottom w:val="0"/>
          <w:divBdr>
            <w:top w:val="none" w:sz="0" w:space="0" w:color="auto"/>
            <w:left w:val="none" w:sz="0" w:space="0" w:color="auto"/>
            <w:bottom w:val="none" w:sz="0" w:space="0" w:color="auto"/>
            <w:right w:val="none" w:sz="0" w:space="0" w:color="auto"/>
          </w:divBdr>
        </w:div>
      </w:divsChild>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55402053">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03974606">
      <w:bodyDiv w:val="1"/>
      <w:marLeft w:val="0"/>
      <w:marRight w:val="0"/>
      <w:marTop w:val="0"/>
      <w:marBottom w:val="0"/>
      <w:divBdr>
        <w:top w:val="none" w:sz="0" w:space="0" w:color="auto"/>
        <w:left w:val="none" w:sz="0" w:space="0" w:color="auto"/>
        <w:bottom w:val="none" w:sz="0" w:space="0" w:color="auto"/>
        <w:right w:val="none" w:sz="0" w:space="0" w:color="auto"/>
      </w:divBdr>
      <w:divsChild>
        <w:div w:id="749036020">
          <w:marLeft w:val="-225"/>
          <w:marRight w:val="-225"/>
          <w:marTop w:val="0"/>
          <w:marBottom w:val="0"/>
          <w:divBdr>
            <w:top w:val="none" w:sz="0" w:space="0" w:color="auto"/>
            <w:left w:val="none" w:sz="0" w:space="0" w:color="auto"/>
            <w:bottom w:val="none" w:sz="0" w:space="0" w:color="auto"/>
            <w:right w:val="none" w:sz="0" w:space="0" w:color="auto"/>
          </w:divBdr>
          <w:divsChild>
            <w:div w:id="411050607">
              <w:marLeft w:val="0"/>
              <w:marRight w:val="0"/>
              <w:marTop w:val="0"/>
              <w:marBottom w:val="0"/>
              <w:divBdr>
                <w:top w:val="none" w:sz="0" w:space="0" w:color="auto"/>
                <w:left w:val="none" w:sz="0" w:space="0" w:color="auto"/>
                <w:bottom w:val="none" w:sz="0" w:space="0" w:color="auto"/>
                <w:right w:val="none" w:sz="0" w:space="0" w:color="auto"/>
              </w:divBdr>
              <w:divsChild>
                <w:div w:id="325205464">
                  <w:marLeft w:val="0"/>
                  <w:marRight w:val="0"/>
                  <w:marTop w:val="0"/>
                  <w:marBottom w:val="0"/>
                  <w:divBdr>
                    <w:top w:val="none" w:sz="0" w:space="0" w:color="auto"/>
                    <w:left w:val="none" w:sz="0" w:space="0" w:color="auto"/>
                    <w:bottom w:val="none" w:sz="0" w:space="0" w:color="auto"/>
                    <w:right w:val="none" w:sz="0" w:space="0" w:color="auto"/>
                  </w:divBdr>
                  <w:divsChild>
                    <w:div w:id="1052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229">
              <w:marLeft w:val="0"/>
              <w:marRight w:val="0"/>
              <w:marTop w:val="0"/>
              <w:marBottom w:val="0"/>
              <w:divBdr>
                <w:top w:val="none" w:sz="0" w:space="0" w:color="auto"/>
                <w:left w:val="none" w:sz="0" w:space="0" w:color="auto"/>
                <w:bottom w:val="none" w:sz="0" w:space="0" w:color="auto"/>
                <w:right w:val="none" w:sz="0" w:space="0" w:color="auto"/>
              </w:divBdr>
              <w:divsChild>
                <w:div w:id="431703903">
                  <w:marLeft w:val="0"/>
                  <w:marRight w:val="0"/>
                  <w:marTop w:val="0"/>
                  <w:marBottom w:val="0"/>
                  <w:divBdr>
                    <w:top w:val="none" w:sz="0" w:space="0" w:color="auto"/>
                    <w:left w:val="none" w:sz="0" w:space="0" w:color="auto"/>
                    <w:bottom w:val="none" w:sz="0" w:space="0" w:color="auto"/>
                    <w:right w:val="none" w:sz="0" w:space="0" w:color="auto"/>
                  </w:divBdr>
                </w:div>
              </w:divsChild>
            </w:div>
            <w:div w:id="590941449">
              <w:marLeft w:val="0"/>
              <w:marRight w:val="0"/>
              <w:marTop w:val="0"/>
              <w:marBottom w:val="0"/>
              <w:divBdr>
                <w:top w:val="none" w:sz="0" w:space="0" w:color="auto"/>
                <w:left w:val="none" w:sz="0" w:space="0" w:color="auto"/>
                <w:bottom w:val="none" w:sz="0" w:space="0" w:color="auto"/>
                <w:right w:val="none" w:sz="0" w:space="0" w:color="auto"/>
              </w:divBdr>
              <w:divsChild>
                <w:div w:id="12628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0176">
          <w:marLeft w:val="-225"/>
          <w:marRight w:val="-225"/>
          <w:marTop w:val="0"/>
          <w:marBottom w:val="0"/>
          <w:divBdr>
            <w:top w:val="none" w:sz="0" w:space="0" w:color="auto"/>
            <w:left w:val="none" w:sz="0" w:space="0" w:color="auto"/>
            <w:bottom w:val="none" w:sz="0" w:space="0" w:color="auto"/>
            <w:right w:val="none" w:sz="0" w:space="0" w:color="auto"/>
          </w:divBdr>
          <w:divsChild>
            <w:div w:id="1206062968">
              <w:marLeft w:val="0"/>
              <w:marRight w:val="0"/>
              <w:marTop w:val="0"/>
              <w:marBottom w:val="0"/>
              <w:divBdr>
                <w:top w:val="none" w:sz="0" w:space="0" w:color="auto"/>
                <w:left w:val="none" w:sz="0" w:space="0" w:color="auto"/>
                <w:bottom w:val="none" w:sz="0" w:space="0" w:color="auto"/>
                <w:right w:val="none" w:sz="0" w:space="0" w:color="auto"/>
              </w:divBdr>
              <w:divsChild>
                <w:div w:id="1722248058">
                  <w:marLeft w:val="0"/>
                  <w:marRight w:val="0"/>
                  <w:marTop w:val="0"/>
                  <w:marBottom w:val="0"/>
                  <w:divBdr>
                    <w:top w:val="none" w:sz="0" w:space="0" w:color="auto"/>
                    <w:left w:val="none" w:sz="0" w:space="0" w:color="auto"/>
                    <w:bottom w:val="none" w:sz="0" w:space="0" w:color="auto"/>
                    <w:right w:val="none" w:sz="0" w:space="0" w:color="auto"/>
                  </w:divBdr>
                </w:div>
              </w:divsChild>
            </w:div>
            <w:div w:id="710114840">
              <w:marLeft w:val="0"/>
              <w:marRight w:val="0"/>
              <w:marTop w:val="0"/>
              <w:marBottom w:val="0"/>
              <w:divBdr>
                <w:top w:val="none" w:sz="0" w:space="0" w:color="auto"/>
                <w:left w:val="none" w:sz="0" w:space="0" w:color="auto"/>
                <w:bottom w:val="none" w:sz="0" w:space="0" w:color="auto"/>
                <w:right w:val="none" w:sz="0" w:space="0" w:color="auto"/>
              </w:divBdr>
              <w:divsChild>
                <w:div w:id="62219165">
                  <w:marLeft w:val="0"/>
                  <w:marRight w:val="0"/>
                  <w:marTop w:val="0"/>
                  <w:marBottom w:val="0"/>
                  <w:divBdr>
                    <w:top w:val="none" w:sz="0" w:space="0" w:color="auto"/>
                    <w:left w:val="none" w:sz="0" w:space="0" w:color="auto"/>
                    <w:bottom w:val="none" w:sz="0" w:space="0" w:color="auto"/>
                    <w:right w:val="none" w:sz="0" w:space="0" w:color="auto"/>
                  </w:divBdr>
                </w:div>
              </w:divsChild>
            </w:div>
            <w:div w:id="1231693372">
              <w:marLeft w:val="0"/>
              <w:marRight w:val="0"/>
              <w:marTop w:val="0"/>
              <w:marBottom w:val="0"/>
              <w:divBdr>
                <w:top w:val="none" w:sz="0" w:space="0" w:color="auto"/>
                <w:left w:val="none" w:sz="0" w:space="0" w:color="auto"/>
                <w:bottom w:val="none" w:sz="0" w:space="0" w:color="auto"/>
                <w:right w:val="none" w:sz="0" w:space="0" w:color="auto"/>
              </w:divBdr>
              <w:divsChild>
                <w:div w:id="198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525">
          <w:marLeft w:val="-225"/>
          <w:marRight w:val="-225"/>
          <w:marTop w:val="0"/>
          <w:marBottom w:val="0"/>
          <w:divBdr>
            <w:top w:val="none" w:sz="0" w:space="0" w:color="auto"/>
            <w:left w:val="none" w:sz="0" w:space="0" w:color="auto"/>
            <w:bottom w:val="none" w:sz="0" w:space="0" w:color="auto"/>
            <w:right w:val="none" w:sz="0" w:space="0" w:color="auto"/>
          </w:divBdr>
          <w:divsChild>
            <w:div w:id="1483740321">
              <w:marLeft w:val="0"/>
              <w:marRight w:val="0"/>
              <w:marTop w:val="0"/>
              <w:marBottom w:val="0"/>
              <w:divBdr>
                <w:top w:val="none" w:sz="0" w:space="0" w:color="auto"/>
                <w:left w:val="none" w:sz="0" w:space="0" w:color="auto"/>
                <w:bottom w:val="none" w:sz="0" w:space="0" w:color="auto"/>
                <w:right w:val="none" w:sz="0" w:space="0" w:color="auto"/>
              </w:divBdr>
            </w:div>
            <w:div w:id="17277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28475774">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492182656">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78183442">
      <w:bodyDiv w:val="1"/>
      <w:marLeft w:val="0"/>
      <w:marRight w:val="0"/>
      <w:marTop w:val="0"/>
      <w:marBottom w:val="0"/>
      <w:divBdr>
        <w:top w:val="none" w:sz="0" w:space="0" w:color="auto"/>
        <w:left w:val="none" w:sz="0" w:space="0" w:color="auto"/>
        <w:bottom w:val="none" w:sz="0" w:space="0" w:color="auto"/>
        <w:right w:val="none" w:sz="0" w:space="0" w:color="auto"/>
      </w:divBdr>
    </w:div>
    <w:div w:id="779106597">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58931959">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084302257">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13166419">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690838607">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768312277">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2/pdf/00325037.pdf" TargetMode="External"/><Relationship Id="rId13" Type="http://schemas.openxmlformats.org/officeDocument/2006/relationships/hyperlink" Target="http://www.tce.am.gov.br/portal/?p=19897" TargetMode="External"/><Relationship Id="rId18" Type="http://schemas.openxmlformats.org/officeDocument/2006/relationships/hyperlink" Target="http://www.stf.jus.br/portal/processo/verProcessoAndamento.asp?numero=4903&amp;classe=ADI&amp;origem=AP&amp;recurso=0&amp;tipoJulgamento=M" TargetMode="External"/><Relationship Id="rId26" Type="http://schemas.openxmlformats.org/officeDocument/2006/relationships/hyperlink" Target="http://www1.tce.pr.gov.br/multimidia/2018/4/pdf/00326184.pdf" TargetMode="External"/><Relationship Id="rId3" Type="http://schemas.openxmlformats.org/officeDocument/2006/relationships/styles" Target="styles.xml"/><Relationship Id="rId21" Type="http://schemas.openxmlformats.org/officeDocument/2006/relationships/hyperlink" Target="http://www1.tce.pr.gov.br/multimidia/2008/7/pdf/00028051.pdf" TargetMode="External"/><Relationship Id="rId7" Type="http://schemas.openxmlformats.org/officeDocument/2006/relationships/endnotes" Target="endnotes.xml"/><Relationship Id="rId12" Type="http://schemas.openxmlformats.org/officeDocument/2006/relationships/hyperlink" Target="http://www.tce.am.gov.br/portal/?p=20300" TargetMode="External"/><Relationship Id="rId17" Type="http://schemas.openxmlformats.org/officeDocument/2006/relationships/hyperlink" Target="http://www.stf.jus.br/portal/processo/verProcessoAndamento.asp?numero=4902&amp;classe=ADI&amp;origem=AP&amp;recurso=0&amp;tipoJulgamento=M" TargetMode="External"/><Relationship Id="rId25"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www.stf.jus.br/portal/processo/verProcessoAndamento.asp?numero=4901&amp;classe=ADI&amp;origem=AP&amp;recurso=0&amp;tipoJulgamento=M" TargetMode="External"/><Relationship Id="rId20" Type="http://schemas.openxmlformats.org/officeDocument/2006/relationships/hyperlink" Target="https://ww2.stj.jus.br/processo/revista/documento/mediado/?componente=ATC&amp;sequencial=81670930&amp;num_registro=201201164226&amp;data=20180430&amp;tipo=51&amp;format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am.gov.br/portal/wp-content/uploads/relatorio_de_auditoria_operacional_e_ambiental_em_ucs.pdf" TargetMode="External"/><Relationship Id="rId24" Type="http://schemas.openxmlformats.org/officeDocument/2006/relationships/hyperlink" Target="http://www1.tce.pr.gov.br/conteudo/pesquisas-prontas/308475/area/249" TargetMode="External"/><Relationship Id="rId5" Type="http://schemas.openxmlformats.org/officeDocument/2006/relationships/webSettings" Target="webSettings.xml"/><Relationship Id="rId15" Type="http://schemas.openxmlformats.org/officeDocument/2006/relationships/hyperlink" Target="http://www.stf.jus.br/portal/processo/verProcessoAndamento.asp?numero=42&amp;classe=ADC&amp;origem=AP&amp;recurso=0&amp;tipoJulgamento=M" TargetMode="External"/><Relationship Id="rId23" Type="http://schemas.openxmlformats.org/officeDocument/2006/relationships/hyperlink" Target="http://www.stf.jus.br/arquivo/cms/noticiaNoticiaStf/anexo/DecisoliminarADI3547.pdf" TargetMode="External"/><Relationship Id="rId28" Type="http://schemas.openxmlformats.org/officeDocument/2006/relationships/footer" Target="footer1.xml"/><Relationship Id="rId10" Type="http://schemas.openxmlformats.org/officeDocument/2006/relationships/hyperlink" Target="https://contas.tcu.gov.br/sagas/SvlVisualizarRelVotoAcRtf?codFiltro=SAGAS-SESSAO-ENCERRADA&amp;seOcultaPagina=S&amp;item0=361469" TargetMode="External"/><Relationship Id="rId19" Type="http://schemas.openxmlformats.org/officeDocument/2006/relationships/hyperlink" Target="http://www.stf.jus.br/portal/processo/verProcessoAndamento.asp?numero=4937&amp;classe=ADI&amp;origem=AP&amp;recurso=0&amp;tipoJulgamento=M" TargetMode="External"/><Relationship Id="rId4" Type="http://schemas.openxmlformats.org/officeDocument/2006/relationships/settings" Target="settings.xml"/><Relationship Id="rId9" Type="http://schemas.openxmlformats.org/officeDocument/2006/relationships/hyperlink" Target="https://contas.tcu.gov.br/sagas/SvlVisualizarRelVotoAcRtf?codFiltro=SAGAS-SESSAO-ENCERRADA&amp;seOcultaPagina=S&amp;item0=590893" TargetMode="External"/><Relationship Id="rId14" Type="http://schemas.openxmlformats.org/officeDocument/2006/relationships/hyperlink" Target="http://www.tce.am.gov.br/portal/?p=21784" TargetMode="External"/><Relationship Id="rId22" Type="http://schemas.openxmlformats.org/officeDocument/2006/relationships/hyperlink" Target="http://www.stf.jus.br/portal/processo/verProcessoDetalhe.asp?incidente=2616565"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C633-CFDE-4B41-92D7-0288828E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2815</Words>
  <Characters>15201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329</cp:revision>
  <cp:lastPrinted>2018-07-16T20:29:00Z</cp:lastPrinted>
  <dcterms:created xsi:type="dcterms:W3CDTF">2017-07-10T20:45:00Z</dcterms:created>
  <dcterms:modified xsi:type="dcterms:W3CDTF">2018-07-16T20:30:00Z</dcterms:modified>
</cp:coreProperties>
</file>