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2F" w:rsidRPr="00640BDC" w:rsidRDefault="0038012F" w:rsidP="0038012F">
      <w:pPr>
        <w:pStyle w:val="Cabealho"/>
        <w:spacing w:after="100" w:afterAutospacing="1"/>
        <w:jc w:val="center"/>
        <w:rPr>
          <w:rFonts w:ascii="Arial" w:hAnsi="Arial" w:cs="Arial"/>
        </w:rPr>
      </w:pPr>
      <w:r w:rsidRPr="00640BDC">
        <w:rPr>
          <w:rFonts w:ascii="Arial" w:hAnsi="Arial" w:cs="Arial"/>
          <w:b/>
        </w:rPr>
        <w:t>Boletim de Jurisprudência TCE/PR</w:t>
      </w:r>
      <w:r w:rsidRPr="00640BDC">
        <w:rPr>
          <w:rFonts w:ascii="Arial" w:hAnsi="Arial" w:cs="Arial"/>
        </w:rPr>
        <w:t xml:space="preserve"> </w:t>
      </w:r>
    </w:p>
    <w:p w:rsidR="001B5F7A" w:rsidRPr="002147AC" w:rsidRDefault="001B5F7A" w:rsidP="001B5F7A">
      <w:pPr>
        <w:spacing w:after="120"/>
        <w:jc w:val="center"/>
        <w:rPr>
          <w:rFonts w:ascii="Arial" w:hAnsi="Arial" w:cs="Arial"/>
          <w:b/>
          <w:sz w:val="20"/>
          <w:szCs w:val="20"/>
        </w:rPr>
      </w:pPr>
      <w:r w:rsidRPr="002147AC">
        <w:rPr>
          <w:rFonts w:ascii="Arial" w:hAnsi="Arial" w:cs="Arial"/>
          <w:b/>
          <w:sz w:val="20"/>
          <w:szCs w:val="20"/>
        </w:rPr>
        <w:t xml:space="preserve">Número </w:t>
      </w:r>
      <w:r w:rsidR="00202F4B">
        <w:rPr>
          <w:rFonts w:ascii="Arial" w:hAnsi="Arial" w:cs="Arial"/>
          <w:b/>
          <w:sz w:val="20"/>
          <w:szCs w:val="20"/>
        </w:rPr>
        <w:t>10</w:t>
      </w:r>
    </w:p>
    <w:p w:rsidR="001B5F7A" w:rsidRDefault="001B5F7A" w:rsidP="001B5F7A">
      <w:pPr>
        <w:spacing w:after="120"/>
        <w:jc w:val="center"/>
        <w:rPr>
          <w:rFonts w:ascii="Arial" w:hAnsi="Arial" w:cs="Arial"/>
          <w:b/>
          <w:sz w:val="20"/>
          <w:szCs w:val="20"/>
        </w:rPr>
      </w:pPr>
      <w:r w:rsidRPr="00FE7B14">
        <w:rPr>
          <w:rFonts w:ascii="Arial" w:hAnsi="Arial" w:cs="Arial"/>
          <w:b/>
          <w:sz w:val="20"/>
          <w:szCs w:val="20"/>
        </w:rPr>
        <w:t xml:space="preserve">Sessões: </w:t>
      </w:r>
      <w:r w:rsidR="00166A96" w:rsidRPr="00FE7B14">
        <w:rPr>
          <w:rFonts w:ascii="Arial" w:hAnsi="Arial" w:cs="Arial"/>
          <w:b/>
          <w:sz w:val="20"/>
          <w:szCs w:val="20"/>
        </w:rPr>
        <w:t>14</w:t>
      </w:r>
      <w:r w:rsidR="005A0FD0" w:rsidRPr="00FE7B14">
        <w:rPr>
          <w:rFonts w:ascii="Arial" w:hAnsi="Arial" w:cs="Arial"/>
          <w:b/>
          <w:sz w:val="20"/>
          <w:szCs w:val="20"/>
        </w:rPr>
        <w:t xml:space="preserve"> </w:t>
      </w:r>
      <w:r w:rsidR="000D4DE6" w:rsidRPr="00FE7B14">
        <w:rPr>
          <w:rFonts w:ascii="Arial" w:hAnsi="Arial" w:cs="Arial"/>
          <w:b/>
          <w:sz w:val="20"/>
          <w:szCs w:val="20"/>
        </w:rPr>
        <w:t>a</w:t>
      </w:r>
      <w:r w:rsidRPr="00FE7B14">
        <w:rPr>
          <w:rFonts w:ascii="Arial" w:hAnsi="Arial" w:cs="Arial"/>
          <w:b/>
          <w:sz w:val="20"/>
          <w:szCs w:val="20"/>
        </w:rPr>
        <w:t xml:space="preserve"> </w:t>
      </w:r>
      <w:r w:rsidR="00166A96" w:rsidRPr="00FE7B14">
        <w:rPr>
          <w:rFonts w:ascii="Arial" w:hAnsi="Arial" w:cs="Arial"/>
          <w:b/>
          <w:sz w:val="20"/>
          <w:szCs w:val="20"/>
        </w:rPr>
        <w:t>23</w:t>
      </w:r>
      <w:r w:rsidR="005A0FD0" w:rsidRPr="00FE7B14">
        <w:rPr>
          <w:rFonts w:ascii="Arial" w:hAnsi="Arial" w:cs="Arial"/>
          <w:b/>
          <w:sz w:val="20"/>
          <w:szCs w:val="20"/>
        </w:rPr>
        <w:t>.0</w:t>
      </w:r>
      <w:r w:rsidR="00C42EFD" w:rsidRPr="00FE7B14">
        <w:rPr>
          <w:rFonts w:ascii="Arial" w:hAnsi="Arial" w:cs="Arial"/>
          <w:b/>
          <w:sz w:val="20"/>
          <w:szCs w:val="20"/>
        </w:rPr>
        <w:t>3</w:t>
      </w:r>
      <w:r w:rsidRPr="00FE7B14">
        <w:rPr>
          <w:rFonts w:ascii="Arial" w:hAnsi="Arial" w:cs="Arial"/>
          <w:b/>
          <w:sz w:val="20"/>
          <w:szCs w:val="20"/>
        </w:rPr>
        <w:t xml:space="preserve"> de 201</w:t>
      </w:r>
      <w:r w:rsidR="005A0FD0" w:rsidRPr="00FE7B14">
        <w:rPr>
          <w:rFonts w:ascii="Arial" w:hAnsi="Arial" w:cs="Arial"/>
          <w:b/>
          <w:sz w:val="20"/>
          <w:szCs w:val="20"/>
        </w:rPr>
        <w:t>7</w:t>
      </w:r>
    </w:p>
    <w:p w:rsidR="00FE7B14" w:rsidRDefault="00FE7B14" w:rsidP="00FE7B14">
      <w:pPr>
        <w:spacing w:after="0"/>
        <w:jc w:val="both"/>
        <w:rPr>
          <w:rFonts w:ascii="Arial" w:hAnsi="Arial" w:cs="Arial"/>
          <w:sz w:val="18"/>
          <w:szCs w:val="18"/>
        </w:rPr>
      </w:pPr>
      <w:r w:rsidRPr="006375ED">
        <w:rPr>
          <w:rFonts w:ascii="Arial" w:hAnsi="Arial" w:cs="Arial"/>
          <w:sz w:val="18"/>
          <w:szCs w:val="18"/>
        </w:rPr>
        <w:t xml:space="preserve">Este Boletim contém informações sintéticas de decisões proferidas pelos Colegiados do TCE/PR que receberam indicação de relevância sob o prisma jurisprudencial no período acima indicado. </w:t>
      </w:r>
      <w:r w:rsidRPr="006375ED">
        <w:rPr>
          <w:rFonts w:ascii="Arial" w:hAnsi="Arial" w:cs="Arial"/>
          <w:color w:val="212121"/>
          <w:sz w:val="18"/>
          <w:szCs w:val="18"/>
        </w:rPr>
        <w:t>A seleção das decisões leva em consideração ao menos um dos seguintes fatores: ineditismo da deliberação, discussão no colegiado ou reiteração de entendimento importante.</w:t>
      </w:r>
      <w:r w:rsidRPr="006375ED">
        <w:rPr>
          <w:rFonts w:ascii="Arial" w:hAnsi="Arial" w:cs="Arial"/>
          <w:sz w:val="18"/>
          <w:szCs w:val="18"/>
        </w:rPr>
        <w:t xml:space="preserve"> O objetivo é facilitar ao interessado o acompanhamento dos acórdãos mais importantes do Tribunal. Para aprofundamento, o leitor pode acessar o inteiro teor das deliberações por meio dos links disponíveis.</w:t>
      </w:r>
      <w:r w:rsidRPr="006375ED">
        <w:rPr>
          <w:rFonts w:ascii="Arial" w:hAnsi="Arial" w:cs="Arial"/>
          <w:color w:val="212121"/>
          <w:sz w:val="18"/>
          <w:szCs w:val="18"/>
        </w:rPr>
        <w:t xml:space="preserve"> </w:t>
      </w:r>
      <w:r w:rsidRPr="006375ED">
        <w:rPr>
          <w:rFonts w:ascii="Arial" w:hAnsi="Arial" w:cs="Arial"/>
          <w:sz w:val="18"/>
          <w:szCs w:val="18"/>
        </w:rPr>
        <w:t>As informações aqui apresentadas não são repositórios oficiais de jurisprudência.</w:t>
      </w:r>
    </w:p>
    <w:p w:rsidR="00FE7B14" w:rsidRPr="006375ED" w:rsidRDefault="00FE7B14" w:rsidP="00FE7B14">
      <w:pPr>
        <w:spacing w:after="0"/>
        <w:jc w:val="both"/>
        <w:rPr>
          <w:rFonts w:ascii="Arial" w:hAnsi="Arial" w:cs="Arial"/>
          <w:sz w:val="18"/>
          <w:szCs w:val="18"/>
        </w:rPr>
      </w:pPr>
    </w:p>
    <w:p w:rsidR="00FE7B14" w:rsidRDefault="00FE7B14" w:rsidP="00FE7B14">
      <w:pPr>
        <w:spacing w:after="120"/>
        <w:jc w:val="both"/>
      </w:pPr>
      <w:r>
        <w:rPr>
          <w:rFonts w:ascii="Times New Roman" w:hAnsi="Times New Roman"/>
          <w:noProof/>
          <w:lang w:eastAsia="pt-BR"/>
        </w:rPr>
        <mc:AlternateContent>
          <mc:Choice Requires="wps">
            <w:drawing>
              <wp:anchor distT="0" distB="0" distL="114300" distR="114300" simplePos="0" relativeHeight="251669504" behindDoc="0" locked="0" layoutInCell="1" allowOverlap="1" wp14:anchorId="6B69DEB3" wp14:editId="579163A6">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1"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rsidR="00AE4F42" w:rsidRPr="00722924" w:rsidRDefault="00AE4F42" w:rsidP="00AE4F42">
      <w:pPr>
        <w:shd w:val="pct10" w:color="auto" w:fill="auto"/>
        <w:jc w:val="center"/>
        <w:rPr>
          <w:rFonts w:ascii="Arial" w:hAnsi="Arial" w:cs="Arial"/>
          <w:b/>
        </w:rPr>
      </w:pPr>
      <w:r>
        <w:rPr>
          <w:rFonts w:ascii="Arial" w:hAnsi="Arial" w:cs="Arial"/>
          <w:b/>
        </w:rPr>
        <w:t>S</w:t>
      </w:r>
      <w:r w:rsidR="00221D15">
        <w:rPr>
          <w:rFonts w:ascii="Arial" w:hAnsi="Arial" w:cs="Arial"/>
          <w:b/>
        </w:rPr>
        <w:t>U</w:t>
      </w:r>
      <w:r>
        <w:rPr>
          <w:rFonts w:ascii="Arial" w:hAnsi="Arial" w:cs="Arial"/>
          <w:b/>
        </w:rPr>
        <w:t>MÁRIO</w:t>
      </w:r>
    </w:p>
    <w:p w:rsidR="00494C04" w:rsidRDefault="005D6DB4" w:rsidP="00494C04">
      <w:pPr>
        <w:spacing w:after="120"/>
        <w:jc w:val="both"/>
        <w:rPr>
          <w:rFonts w:ascii="Arial" w:hAnsi="Arial" w:cs="Arial"/>
          <w:sz w:val="20"/>
          <w:szCs w:val="20"/>
        </w:rPr>
      </w:pPr>
      <w:r>
        <w:rPr>
          <w:rFonts w:ascii="Arial" w:hAnsi="Arial" w:cs="Arial"/>
          <w:sz w:val="20"/>
          <w:szCs w:val="20"/>
        </w:rPr>
        <w:t xml:space="preserve">1. </w:t>
      </w:r>
      <w:r w:rsidR="00494C04" w:rsidRPr="00110517">
        <w:rPr>
          <w:rFonts w:ascii="Arial" w:hAnsi="Arial" w:cs="Arial"/>
          <w:sz w:val="20"/>
          <w:szCs w:val="20"/>
        </w:rPr>
        <w:t xml:space="preserve">Despesas não comprovadas por instrumento hábil. </w:t>
      </w:r>
      <w:r w:rsidR="00494C04">
        <w:rPr>
          <w:rFonts w:ascii="Arial" w:hAnsi="Arial" w:cs="Arial"/>
          <w:sz w:val="20"/>
          <w:szCs w:val="20"/>
        </w:rPr>
        <w:t xml:space="preserve">Recibos Simples. Necessidade de Nota Fiscal. Pessoa Jurídica. Encargos Tributários e Previdenciários. Não comprovação nos autos. </w:t>
      </w:r>
      <w:r w:rsidR="00494C04" w:rsidRPr="00110517">
        <w:rPr>
          <w:rFonts w:ascii="Arial" w:hAnsi="Arial" w:cs="Arial"/>
          <w:sz w:val="20"/>
          <w:szCs w:val="20"/>
        </w:rPr>
        <w:t>Irregularidade com ressarcimento e recomendações.</w:t>
      </w:r>
    </w:p>
    <w:p w:rsidR="002805F1" w:rsidRPr="002805F1" w:rsidRDefault="005D6DB4" w:rsidP="00523246">
      <w:pPr>
        <w:autoSpaceDE w:val="0"/>
        <w:autoSpaceDN w:val="0"/>
        <w:adjustRightInd w:val="0"/>
        <w:spacing w:after="0"/>
        <w:jc w:val="both"/>
        <w:rPr>
          <w:rFonts w:ascii="Arial" w:hAnsi="Arial" w:cs="Arial"/>
          <w:sz w:val="20"/>
          <w:szCs w:val="20"/>
        </w:rPr>
      </w:pPr>
      <w:r>
        <w:rPr>
          <w:rFonts w:ascii="Arial" w:hAnsi="Arial" w:cs="Arial"/>
          <w:sz w:val="20"/>
          <w:szCs w:val="20"/>
        </w:rPr>
        <w:t xml:space="preserve">2. </w:t>
      </w:r>
      <w:r w:rsidR="002805F1" w:rsidRPr="002805F1">
        <w:rPr>
          <w:rFonts w:ascii="Arial" w:hAnsi="Arial" w:cs="Arial"/>
          <w:sz w:val="20"/>
          <w:szCs w:val="20"/>
        </w:rPr>
        <w:t>Tomada de Contas Extraordinária. Funções de contador e assessor jurídico. Terceirização. Proibição. Violação do Prejulgado 06/TCE-PR.</w:t>
      </w:r>
    </w:p>
    <w:p w:rsidR="000262AD" w:rsidRDefault="000262AD" w:rsidP="00523246">
      <w:pPr>
        <w:autoSpaceDE w:val="0"/>
        <w:autoSpaceDN w:val="0"/>
        <w:adjustRightInd w:val="0"/>
        <w:spacing w:after="0"/>
        <w:jc w:val="both"/>
        <w:rPr>
          <w:rFonts w:ascii="Arial" w:hAnsi="Arial" w:cs="Arial"/>
          <w:sz w:val="20"/>
          <w:szCs w:val="20"/>
        </w:rPr>
      </w:pPr>
    </w:p>
    <w:p w:rsidR="002805F1" w:rsidRDefault="005D6DB4" w:rsidP="00523246">
      <w:pPr>
        <w:autoSpaceDE w:val="0"/>
        <w:autoSpaceDN w:val="0"/>
        <w:adjustRightInd w:val="0"/>
        <w:spacing w:after="0"/>
        <w:jc w:val="both"/>
        <w:rPr>
          <w:rFonts w:ascii="Arial" w:hAnsi="Arial" w:cs="Arial"/>
          <w:sz w:val="20"/>
          <w:szCs w:val="20"/>
        </w:rPr>
      </w:pPr>
      <w:r>
        <w:rPr>
          <w:rFonts w:ascii="Arial" w:hAnsi="Arial" w:cs="Arial"/>
          <w:sz w:val="20"/>
          <w:szCs w:val="20"/>
        </w:rPr>
        <w:t>3.</w:t>
      </w:r>
      <w:r w:rsidR="00A41EF2">
        <w:rPr>
          <w:rFonts w:ascii="Arial" w:hAnsi="Arial" w:cs="Arial"/>
          <w:sz w:val="20"/>
          <w:szCs w:val="20"/>
        </w:rPr>
        <w:t xml:space="preserve"> </w:t>
      </w:r>
      <w:r w:rsidR="002805F1" w:rsidRPr="002805F1">
        <w:rPr>
          <w:rFonts w:ascii="Arial" w:hAnsi="Arial" w:cs="Arial"/>
          <w:sz w:val="20"/>
          <w:szCs w:val="20"/>
        </w:rPr>
        <w:t xml:space="preserve">Tomadas de </w:t>
      </w:r>
      <w:proofErr w:type="gramStart"/>
      <w:r w:rsidR="002805F1" w:rsidRPr="002805F1">
        <w:rPr>
          <w:rFonts w:ascii="Arial" w:hAnsi="Arial" w:cs="Arial"/>
          <w:sz w:val="20"/>
          <w:szCs w:val="20"/>
        </w:rPr>
        <w:t>Contas Extraordinária</w:t>
      </w:r>
      <w:proofErr w:type="gramEnd"/>
      <w:r w:rsidR="002805F1" w:rsidRPr="002805F1">
        <w:rPr>
          <w:rFonts w:ascii="Arial" w:hAnsi="Arial" w:cs="Arial"/>
          <w:sz w:val="20"/>
          <w:szCs w:val="20"/>
        </w:rPr>
        <w:t xml:space="preserve">. Poder Legislativo. Função de legislar. Atividade fim. Terceirização. Proibição. </w:t>
      </w:r>
    </w:p>
    <w:p w:rsidR="00067E01" w:rsidRDefault="00067E01" w:rsidP="00523246">
      <w:pPr>
        <w:autoSpaceDE w:val="0"/>
        <w:autoSpaceDN w:val="0"/>
        <w:adjustRightInd w:val="0"/>
        <w:spacing w:after="0"/>
        <w:jc w:val="both"/>
        <w:rPr>
          <w:rFonts w:ascii="Arial" w:hAnsi="Arial" w:cs="Arial"/>
          <w:sz w:val="20"/>
          <w:szCs w:val="20"/>
        </w:rPr>
      </w:pPr>
    </w:p>
    <w:p w:rsidR="00067E01" w:rsidRPr="00067E01" w:rsidRDefault="00D80DF0" w:rsidP="00067E01">
      <w:pPr>
        <w:spacing w:after="0"/>
        <w:jc w:val="both"/>
        <w:rPr>
          <w:rFonts w:ascii="Arial" w:hAnsi="Arial" w:cs="Arial"/>
          <w:sz w:val="20"/>
          <w:szCs w:val="20"/>
        </w:rPr>
      </w:pPr>
      <w:r>
        <w:rPr>
          <w:rFonts w:ascii="Arial" w:hAnsi="Arial" w:cs="Arial"/>
          <w:sz w:val="20"/>
          <w:szCs w:val="20"/>
        </w:rPr>
        <w:t xml:space="preserve">4. </w:t>
      </w:r>
      <w:r w:rsidR="00067E01" w:rsidRPr="00067E01">
        <w:rPr>
          <w:rFonts w:ascii="Arial" w:hAnsi="Arial" w:cs="Arial"/>
          <w:sz w:val="20"/>
          <w:szCs w:val="20"/>
        </w:rPr>
        <w:t xml:space="preserve">Prestação de Contas Anual. Consórcio Público. Competência para Julgamento das Contas pertence ao Tribunal de Contas e não </w:t>
      </w:r>
      <w:r w:rsidR="00952404">
        <w:rPr>
          <w:rFonts w:ascii="Arial" w:hAnsi="Arial" w:cs="Arial"/>
          <w:sz w:val="20"/>
          <w:szCs w:val="20"/>
        </w:rPr>
        <w:t>a</w:t>
      </w:r>
      <w:r w:rsidR="00067E01" w:rsidRPr="00067E01">
        <w:rPr>
          <w:rFonts w:ascii="Arial" w:hAnsi="Arial" w:cs="Arial"/>
          <w:sz w:val="20"/>
          <w:szCs w:val="20"/>
        </w:rPr>
        <w:t>o Poder Legislativo. Não Incidência da decisão do STF no RE n° 848.826/DF.</w:t>
      </w:r>
    </w:p>
    <w:p w:rsidR="00067E01" w:rsidRPr="00DE2776" w:rsidRDefault="00067E01" w:rsidP="00523246">
      <w:pPr>
        <w:autoSpaceDE w:val="0"/>
        <w:autoSpaceDN w:val="0"/>
        <w:adjustRightInd w:val="0"/>
        <w:spacing w:after="0"/>
        <w:jc w:val="both"/>
        <w:rPr>
          <w:rFonts w:ascii="Arial" w:hAnsi="Arial" w:cs="Arial"/>
          <w:sz w:val="20"/>
          <w:szCs w:val="20"/>
        </w:rPr>
      </w:pPr>
    </w:p>
    <w:p w:rsidR="00DE2776" w:rsidRPr="00DE2776" w:rsidRDefault="00DE2776" w:rsidP="00DE2776">
      <w:pPr>
        <w:spacing w:after="0"/>
        <w:jc w:val="both"/>
        <w:rPr>
          <w:rFonts w:ascii="Arial" w:hAnsi="Arial" w:cs="Arial"/>
          <w:sz w:val="20"/>
          <w:szCs w:val="20"/>
        </w:rPr>
      </w:pPr>
      <w:r w:rsidRPr="00DE2776">
        <w:rPr>
          <w:rFonts w:ascii="Arial" w:hAnsi="Arial" w:cs="Arial"/>
          <w:sz w:val="20"/>
          <w:szCs w:val="20"/>
        </w:rPr>
        <w:t xml:space="preserve">5. Transferência Voluntária. Incongruências Formais. Ausência de Dano e Prejuízos ao Objeto pactuado. Regularidade. Expedição de Recomendação. </w:t>
      </w:r>
    </w:p>
    <w:p w:rsidR="00DE2776" w:rsidRDefault="00DE2776" w:rsidP="00523246">
      <w:pPr>
        <w:autoSpaceDE w:val="0"/>
        <w:autoSpaceDN w:val="0"/>
        <w:adjustRightInd w:val="0"/>
        <w:spacing w:after="0"/>
        <w:jc w:val="both"/>
        <w:rPr>
          <w:rFonts w:ascii="Arial" w:hAnsi="Arial" w:cs="Arial"/>
          <w:sz w:val="20"/>
          <w:szCs w:val="20"/>
        </w:rPr>
      </w:pPr>
    </w:p>
    <w:p w:rsidR="00F6708D" w:rsidRPr="00F6708D" w:rsidRDefault="00DE2776" w:rsidP="00523246">
      <w:pPr>
        <w:autoSpaceDE w:val="0"/>
        <w:autoSpaceDN w:val="0"/>
        <w:adjustRightInd w:val="0"/>
        <w:spacing w:after="0"/>
        <w:jc w:val="both"/>
        <w:rPr>
          <w:rFonts w:ascii="Arial" w:hAnsi="Arial" w:cs="Arial"/>
          <w:sz w:val="20"/>
          <w:szCs w:val="20"/>
        </w:rPr>
      </w:pPr>
      <w:r>
        <w:rPr>
          <w:rFonts w:ascii="Arial" w:hAnsi="Arial" w:cs="Arial"/>
          <w:sz w:val="20"/>
          <w:szCs w:val="20"/>
        </w:rPr>
        <w:t xml:space="preserve">6. </w:t>
      </w:r>
      <w:r w:rsidR="00F6708D" w:rsidRPr="00F6708D">
        <w:rPr>
          <w:rFonts w:ascii="Arial" w:hAnsi="Arial" w:cs="Arial"/>
          <w:sz w:val="20"/>
          <w:szCs w:val="20"/>
        </w:rPr>
        <w:t xml:space="preserve">Tomada de Contas Extraordinária. Renúncia de receita configurada pela concessão de uso gratuito de espaços publicitários no Estádio Olímpico Regional. Irregularidade com aplicação de multas. </w:t>
      </w:r>
    </w:p>
    <w:p w:rsidR="0044532C" w:rsidRPr="00F6708D" w:rsidRDefault="0044532C" w:rsidP="00523246">
      <w:pPr>
        <w:autoSpaceDE w:val="0"/>
        <w:autoSpaceDN w:val="0"/>
        <w:adjustRightInd w:val="0"/>
        <w:spacing w:after="0"/>
        <w:jc w:val="both"/>
        <w:rPr>
          <w:rFonts w:ascii="Arial" w:hAnsi="Arial" w:cs="Arial"/>
          <w:sz w:val="20"/>
          <w:szCs w:val="20"/>
        </w:rPr>
      </w:pPr>
    </w:p>
    <w:p w:rsidR="0044532C" w:rsidRDefault="00DE2776" w:rsidP="00523246">
      <w:pPr>
        <w:autoSpaceDE w:val="0"/>
        <w:autoSpaceDN w:val="0"/>
        <w:adjustRightInd w:val="0"/>
        <w:spacing w:after="0"/>
        <w:jc w:val="both"/>
        <w:rPr>
          <w:rFonts w:ascii="Arial" w:hAnsi="Arial" w:cs="Arial"/>
          <w:sz w:val="20"/>
          <w:szCs w:val="20"/>
        </w:rPr>
      </w:pPr>
      <w:r>
        <w:rPr>
          <w:rFonts w:ascii="Arial" w:hAnsi="Arial" w:cs="Arial"/>
          <w:sz w:val="20"/>
          <w:szCs w:val="20"/>
        </w:rPr>
        <w:t xml:space="preserve">7. </w:t>
      </w:r>
      <w:r w:rsidR="00A53CDD" w:rsidRPr="00F6708D">
        <w:rPr>
          <w:rFonts w:ascii="Arial" w:hAnsi="Arial" w:cs="Arial"/>
          <w:sz w:val="20"/>
          <w:szCs w:val="20"/>
        </w:rPr>
        <w:t>Representação da Lei nº 8.666/93. Edital de Pregão Presencial contendo exigência de apresentação de amostras previamente à licitação. Medida cautelar para determinar a imediata suspensão do certame.</w:t>
      </w:r>
    </w:p>
    <w:p w:rsidR="001D6ADC" w:rsidRDefault="001D6ADC" w:rsidP="00523246">
      <w:pPr>
        <w:autoSpaceDE w:val="0"/>
        <w:autoSpaceDN w:val="0"/>
        <w:adjustRightInd w:val="0"/>
        <w:spacing w:after="0"/>
        <w:jc w:val="both"/>
        <w:rPr>
          <w:rFonts w:ascii="Arial" w:hAnsi="Arial" w:cs="Arial"/>
          <w:sz w:val="20"/>
          <w:szCs w:val="20"/>
        </w:rPr>
      </w:pPr>
    </w:p>
    <w:p w:rsidR="0049557F" w:rsidRPr="0049557F" w:rsidRDefault="00DE2776" w:rsidP="00523246">
      <w:pPr>
        <w:autoSpaceDE w:val="0"/>
        <w:autoSpaceDN w:val="0"/>
        <w:adjustRightInd w:val="0"/>
        <w:spacing w:after="0"/>
        <w:jc w:val="both"/>
        <w:rPr>
          <w:rFonts w:ascii="Arial" w:hAnsi="Arial" w:cs="Arial"/>
          <w:sz w:val="20"/>
          <w:szCs w:val="20"/>
        </w:rPr>
      </w:pPr>
      <w:r>
        <w:rPr>
          <w:rFonts w:ascii="Arial" w:hAnsi="Arial" w:cs="Arial"/>
          <w:sz w:val="20"/>
          <w:szCs w:val="20"/>
        </w:rPr>
        <w:t xml:space="preserve">8. </w:t>
      </w:r>
      <w:r w:rsidR="0049557F" w:rsidRPr="0049557F">
        <w:rPr>
          <w:rFonts w:ascii="Arial" w:hAnsi="Arial" w:cs="Arial"/>
          <w:sz w:val="20"/>
          <w:szCs w:val="20"/>
        </w:rPr>
        <w:t xml:space="preserve">Representação da Lei n.º 8.666/1993. Pregão Presencial. Aquisição de pneus, câmaras de ar e protetores novos. Produtos de fabricação nacional. Requisito de habilitação de qualificação </w:t>
      </w:r>
      <w:proofErr w:type="gramStart"/>
      <w:r w:rsidR="0049557F" w:rsidRPr="0049557F">
        <w:rPr>
          <w:rFonts w:ascii="Arial" w:hAnsi="Arial" w:cs="Arial"/>
          <w:sz w:val="20"/>
          <w:szCs w:val="20"/>
        </w:rPr>
        <w:t>técnica não previsto</w:t>
      </w:r>
      <w:proofErr w:type="gramEnd"/>
      <w:r w:rsidR="0049557F" w:rsidRPr="0049557F">
        <w:rPr>
          <w:rFonts w:ascii="Arial" w:hAnsi="Arial" w:cs="Arial"/>
          <w:sz w:val="20"/>
          <w:szCs w:val="20"/>
        </w:rPr>
        <w:t xml:space="preserve"> em lei. Violação à lei de licitações. Inexistência de prejuízo ao erário. Procedência com expedição de recomendações.</w:t>
      </w:r>
    </w:p>
    <w:p w:rsidR="00F368B9" w:rsidRPr="0049557F" w:rsidRDefault="00F368B9" w:rsidP="00523246">
      <w:pPr>
        <w:spacing w:after="0"/>
        <w:jc w:val="both"/>
        <w:rPr>
          <w:rFonts w:ascii="Arial" w:hAnsi="Arial" w:cs="Arial"/>
          <w:sz w:val="20"/>
          <w:szCs w:val="20"/>
        </w:rPr>
      </w:pPr>
    </w:p>
    <w:p w:rsidR="0049557F" w:rsidRDefault="00DE2776" w:rsidP="00523246">
      <w:pPr>
        <w:autoSpaceDE w:val="0"/>
        <w:autoSpaceDN w:val="0"/>
        <w:adjustRightInd w:val="0"/>
        <w:spacing w:after="0"/>
        <w:jc w:val="both"/>
        <w:rPr>
          <w:rFonts w:ascii="Arial" w:hAnsi="Arial" w:cs="Arial"/>
          <w:sz w:val="20"/>
          <w:szCs w:val="20"/>
        </w:rPr>
      </w:pPr>
      <w:r>
        <w:rPr>
          <w:rFonts w:ascii="Arial" w:hAnsi="Arial" w:cs="Arial"/>
          <w:sz w:val="20"/>
          <w:szCs w:val="20"/>
        </w:rPr>
        <w:t xml:space="preserve">9. </w:t>
      </w:r>
      <w:r w:rsidR="0049557F" w:rsidRPr="0049557F">
        <w:rPr>
          <w:rFonts w:ascii="Arial" w:hAnsi="Arial" w:cs="Arial"/>
          <w:sz w:val="20"/>
          <w:szCs w:val="20"/>
        </w:rPr>
        <w:t xml:space="preserve">Prestação de contas de Entidade Estadual. Devem ser sensivelmente mitigados os efeitos de insuficiências financeiras na análise de contas de órgão dependente de repasses </w:t>
      </w:r>
      <w:r w:rsidR="0049557F" w:rsidRPr="0049557F">
        <w:rPr>
          <w:rFonts w:ascii="Arial" w:hAnsi="Arial" w:cs="Arial"/>
          <w:sz w:val="20"/>
          <w:szCs w:val="20"/>
        </w:rPr>
        <w:lastRenderedPageBreak/>
        <w:t xml:space="preserve">intragovernamentais, em razão da patente influência que sofre a entidade no que tange à captação de recursos </w:t>
      </w:r>
      <w:r w:rsidR="007F2086">
        <w:rPr>
          <w:rFonts w:ascii="Arial" w:hAnsi="Arial" w:cs="Arial"/>
          <w:sz w:val="20"/>
          <w:szCs w:val="20"/>
        </w:rPr>
        <w:t>-</w:t>
      </w:r>
      <w:r w:rsidR="0049557F" w:rsidRPr="0049557F">
        <w:rPr>
          <w:rFonts w:ascii="Arial" w:hAnsi="Arial" w:cs="Arial"/>
          <w:sz w:val="20"/>
          <w:szCs w:val="20"/>
        </w:rPr>
        <w:t xml:space="preserve"> Orientação fixada no Processo 25642-1/15. Regularidade com recomendação referente à observação dos prazos para envio de dados no SEI-CED.</w:t>
      </w:r>
    </w:p>
    <w:p w:rsidR="00BC45E0" w:rsidRDefault="00BC45E0" w:rsidP="00523246">
      <w:pPr>
        <w:autoSpaceDE w:val="0"/>
        <w:autoSpaceDN w:val="0"/>
        <w:adjustRightInd w:val="0"/>
        <w:spacing w:after="0"/>
        <w:jc w:val="both"/>
        <w:rPr>
          <w:rFonts w:ascii="Arial" w:hAnsi="Arial" w:cs="Arial"/>
          <w:sz w:val="20"/>
          <w:szCs w:val="20"/>
        </w:rPr>
      </w:pPr>
    </w:p>
    <w:p w:rsidR="00BC45E0" w:rsidRDefault="00E67390" w:rsidP="00523246">
      <w:pPr>
        <w:autoSpaceDE w:val="0"/>
        <w:autoSpaceDN w:val="0"/>
        <w:adjustRightInd w:val="0"/>
        <w:spacing w:after="0"/>
        <w:jc w:val="both"/>
        <w:rPr>
          <w:rFonts w:ascii="Arial" w:hAnsi="Arial" w:cs="Arial"/>
          <w:sz w:val="20"/>
          <w:szCs w:val="20"/>
        </w:rPr>
      </w:pPr>
      <w:r>
        <w:rPr>
          <w:rFonts w:ascii="Arial" w:hAnsi="Arial" w:cs="Arial"/>
          <w:sz w:val="20"/>
          <w:szCs w:val="20"/>
        </w:rPr>
        <w:t xml:space="preserve">10. </w:t>
      </w:r>
      <w:r w:rsidR="00BC45E0" w:rsidRPr="00BC45E0">
        <w:rPr>
          <w:rFonts w:ascii="Arial" w:hAnsi="Arial" w:cs="Arial"/>
          <w:sz w:val="20"/>
          <w:szCs w:val="20"/>
        </w:rPr>
        <w:t>Representação. Licitação. Publicidade. Aditamentos. Necessidade de comprovação de publicação.</w:t>
      </w:r>
    </w:p>
    <w:p w:rsidR="00BC45E0" w:rsidRDefault="00BC45E0" w:rsidP="00523246">
      <w:pPr>
        <w:autoSpaceDE w:val="0"/>
        <w:autoSpaceDN w:val="0"/>
        <w:adjustRightInd w:val="0"/>
        <w:spacing w:after="0"/>
        <w:jc w:val="both"/>
        <w:rPr>
          <w:rFonts w:ascii="Arial" w:hAnsi="Arial" w:cs="Arial"/>
          <w:sz w:val="20"/>
          <w:szCs w:val="20"/>
        </w:rPr>
      </w:pPr>
    </w:p>
    <w:p w:rsidR="00BC45E0" w:rsidRDefault="00E67390" w:rsidP="00523246">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11. </w:t>
      </w:r>
      <w:r w:rsidR="00BC45E0" w:rsidRPr="00BC45E0">
        <w:rPr>
          <w:rFonts w:ascii="Arial" w:hAnsi="Arial" w:cs="Arial"/>
          <w:color w:val="000000"/>
          <w:sz w:val="20"/>
          <w:szCs w:val="20"/>
          <w:shd w:val="clear" w:color="auto" w:fill="FFFFFF"/>
        </w:rPr>
        <w:t>Denúncia. Cessão de imóvel público urbano. Autorização legislativa. Necessidade e requisitos.</w:t>
      </w:r>
    </w:p>
    <w:p w:rsidR="002805F1" w:rsidRPr="00BC45E0" w:rsidRDefault="002805F1" w:rsidP="00523246">
      <w:pPr>
        <w:autoSpaceDE w:val="0"/>
        <w:autoSpaceDN w:val="0"/>
        <w:adjustRightInd w:val="0"/>
        <w:spacing w:after="0"/>
        <w:jc w:val="both"/>
        <w:rPr>
          <w:rFonts w:ascii="Arial" w:hAnsi="Arial" w:cs="Arial"/>
          <w:color w:val="000000"/>
          <w:sz w:val="20"/>
          <w:szCs w:val="20"/>
          <w:shd w:val="clear" w:color="auto" w:fill="FFFFFF"/>
        </w:rPr>
      </w:pPr>
    </w:p>
    <w:p w:rsidR="00712A93" w:rsidRPr="00722924" w:rsidRDefault="00712A93" w:rsidP="00722924">
      <w:pPr>
        <w:shd w:val="pct10" w:color="auto" w:fill="auto"/>
        <w:jc w:val="center"/>
        <w:rPr>
          <w:rFonts w:ascii="Arial" w:hAnsi="Arial" w:cs="Arial"/>
          <w:b/>
        </w:rPr>
      </w:pPr>
      <w:r w:rsidRPr="00722924">
        <w:rPr>
          <w:rFonts w:ascii="Arial" w:hAnsi="Arial" w:cs="Arial"/>
          <w:b/>
        </w:rPr>
        <w:t>PRIMEIRA CÂMARA</w:t>
      </w:r>
    </w:p>
    <w:p w:rsidR="00110517" w:rsidRPr="005C661E" w:rsidRDefault="002A0792" w:rsidP="005C661E">
      <w:pPr>
        <w:spacing w:after="0"/>
        <w:jc w:val="both"/>
        <w:rPr>
          <w:rFonts w:ascii="Arial" w:hAnsi="Arial" w:cs="Arial"/>
          <w:b/>
          <w:sz w:val="20"/>
          <w:szCs w:val="20"/>
        </w:rPr>
      </w:pPr>
      <w:r>
        <w:rPr>
          <w:rFonts w:ascii="Arial" w:hAnsi="Arial" w:cs="Arial"/>
          <w:b/>
          <w:sz w:val="20"/>
          <w:szCs w:val="20"/>
        </w:rPr>
        <w:t xml:space="preserve">1. </w:t>
      </w:r>
      <w:r w:rsidR="003A6622">
        <w:rPr>
          <w:rFonts w:ascii="Arial" w:hAnsi="Arial" w:cs="Arial"/>
          <w:b/>
          <w:sz w:val="20"/>
          <w:szCs w:val="20"/>
        </w:rPr>
        <w:t xml:space="preserve">Transferência Voluntária. </w:t>
      </w:r>
      <w:r w:rsidR="00110517" w:rsidRPr="005C661E">
        <w:rPr>
          <w:rFonts w:ascii="Arial" w:hAnsi="Arial" w:cs="Arial"/>
          <w:b/>
          <w:sz w:val="20"/>
          <w:szCs w:val="20"/>
        </w:rPr>
        <w:t xml:space="preserve">Despesas não comprovadas por instrumento hábil. </w:t>
      </w:r>
      <w:r w:rsidR="00791384" w:rsidRPr="005C661E">
        <w:rPr>
          <w:rFonts w:ascii="Arial" w:hAnsi="Arial" w:cs="Arial"/>
          <w:b/>
          <w:sz w:val="20"/>
          <w:szCs w:val="20"/>
        </w:rPr>
        <w:t>Recibos Simples. Necessidade de Nota Fiscal</w:t>
      </w:r>
      <w:r w:rsidR="00C30A7D" w:rsidRPr="005C661E">
        <w:rPr>
          <w:rFonts w:ascii="Arial" w:hAnsi="Arial" w:cs="Arial"/>
          <w:b/>
          <w:sz w:val="20"/>
          <w:szCs w:val="20"/>
        </w:rPr>
        <w:t>.</w:t>
      </w:r>
      <w:r w:rsidR="00F46ECB" w:rsidRPr="005C661E">
        <w:rPr>
          <w:rFonts w:ascii="Arial" w:hAnsi="Arial" w:cs="Arial"/>
          <w:b/>
          <w:sz w:val="20"/>
          <w:szCs w:val="20"/>
        </w:rPr>
        <w:t xml:space="preserve"> Pessoa Jurídica</w:t>
      </w:r>
      <w:r w:rsidR="00E32395" w:rsidRPr="005C661E">
        <w:rPr>
          <w:rFonts w:ascii="Arial" w:hAnsi="Arial" w:cs="Arial"/>
          <w:b/>
          <w:sz w:val="20"/>
          <w:szCs w:val="20"/>
        </w:rPr>
        <w:t xml:space="preserve">. </w:t>
      </w:r>
      <w:r w:rsidR="00C30A7D" w:rsidRPr="005C661E">
        <w:rPr>
          <w:rFonts w:ascii="Arial" w:hAnsi="Arial" w:cs="Arial"/>
          <w:b/>
          <w:sz w:val="20"/>
          <w:szCs w:val="20"/>
        </w:rPr>
        <w:t>Encargos Tributários e Previdenciários.</w:t>
      </w:r>
      <w:r w:rsidR="00E32395" w:rsidRPr="005C661E">
        <w:rPr>
          <w:rFonts w:ascii="Arial" w:hAnsi="Arial" w:cs="Arial"/>
          <w:b/>
          <w:sz w:val="20"/>
          <w:szCs w:val="20"/>
        </w:rPr>
        <w:t xml:space="preserve"> </w:t>
      </w:r>
      <w:r w:rsidR="00494C04" w:rsidRPr="005C661E">
        <w:rPr>
          <w:rFonts w:ascii="Arial" w:hAnsi="Arial" w:cs="Arial"/>
          <w:b/>
          <w:sz w:val="20"/>
          <w:szCs w:val="20"/>
        </w:rPr>
        <w:t xml:space="preserve">Não comprovação nos autos. </w:t>
      </w:r>
      <w:r w:rsidR="00110517" w:rsidRPr="005C661E">
        <w:rPr>
          <w:rFonts w:ascii="Arial" w:hAnsi="Arial" w:cs="Arial"/>
          <w:b/>
          <w:sz w:val="20"/>
          <w:szCs w:val="20"/>
        </w:rPr>
        <w:t>Irregularidade com ressarcimento e recomendações.</w:t>
      </w:r>
    </w:p>
    <w:p w:rsidR="005C661E" w:rsidRDefault="005C661E" w:rsidP="005C661E">
      <w:pPr>
        <w:spacing w:after="0"/>
        <w:jc w:val="both"/>
        <w:rPr>
          <w:rFonts w:ascii="Arial" w:hAnsi="Arial" w:cs="Arial"/>
          <w:sz w:val="20"/>
          <w:szCs w:val="20"/>
        </w:rPr>
      </w:pPr>
    </w:p>
    <w:p w:rsidR="00110517" w:rsidRDefault="00110517" w:rsidP="005C661E">
      <w:pPr>
        <w:spacing w:after="0"/>
        <w:jc w:val="both"/>
        <w:rPr>
          <w:rFonts w:ascii="Arial" w:hAnsi="Arial" w:cs="Arial"/>
          <w:sz w:val="20"/>
          <w:szCs w:val="20"/>
        </w:rPr>
      </w:pPr>
      <w:r>
        <w:rPr>
          <w:rFonts w:ascii="Arial" w:hAnsi="Arial" w:cs="Arial"/>
          <w:sz w:val="20"/>
          <w:szCs w:val="20"/>
        </w:rPr>
        <w:t>Na prestação de contas de convênio celebrado entre o Município de Cascavel e a Associação Cascavelense dos Esportistas Amadores d</w:t>
      </w:r>
      <w:r w:rsidR="00791384">
        <w:rPr>
          <w:rFonts w:ascii="Arial" w:hAnsi="Arial" w:cs="Arial"/>
          <w:sz w:val="20"/>
          <w:szCs w:val="20"/>
        </w:rPr>
        <w:t>a referida urbe</w:t>
      </w:r>
      <w:r>
        <w:rPr>
          <w:rFonts w:ascii="Arial" w:hAnsi="Arial" w:cs="Arial"/>
          <w:sz w:val="20"/>
          <w:szCs w:val="20"/>
        </w:rPr>
        <w:t xml:space="preserve">, ficou evidenciado que a entidade tomadora dos recursos efetuou a comprovação de algumas das despesas realizadas mediante a apresentação de recibos simples. </w:t>
      </w:r>
    </w:p>
    <w:p w:rsidR="005C661E" w:rsidRDefault="005C661E" w:rsidP="005C661E">
      <w:pPr>
        <w:spacing w:after="0"/>
        <w:jc w:val="both"/>
        <w:rPr>
          <w:rFonts w:ascii="Arial" w:hAnsi="Arial" w:cs="Arial"/>
          <w:sz w:val="20"/>
          <w:szCs w:val="20"/>
        </w:rPr>
      </w:pPr>
    </w:p>
    <w:p w:rsidR="00110517" w:rsidRDefault="00110517" w:rsidP="005C661E">
      <w:pPr>
        <w:spacing w:after="0"/>
        <w:jc w:val="both"/>
        <w:rPr>
          <w:rFonts w:ascii="Arial" w:hAnsi="Arial" w:cs="Arial"/>
          <w:sz w:val="20"/>
          <w:szCs w:val="20"/>
        </w:rPr>
      </w:pPr>
      <w:r>
        <w:rPr>
          <w:rFonts w:ascii="Arial" w:hAnsi="Arial" w:cs="Arial"/>
          <w:sz w:val="20"/>
          <w:szCs w:val="20"/>
        </w:rPr>
        <w:t xml:space="preserve">O ajuste teve como objeto o desenvolvimento do esporte amador, estando o Atletismo, o Ciclismo, a Ginástica Rítmica e a Natação entre algumas das modalidades desenvolvidas. Nos casos em que os fornecedores da entidade foram pessoas jurídicas, o documento fiscal correto para comprovar as despesas, seria a nota fiscal, como, aliás, já consignou o Tribunal de Contas da União no Acórdão nº 6223/2015. No caso em que os favorecidos foram pessoas físicas, o documento hábil para comprovação seria o Recibo de Pagamento Autônomo, acompanhado da documentação que ateste o cumprimento das obrigações previdenciárias, tais como, DARF, GPS e GFIP. </w:t>
      </w:r>
    </w:p>
    <w:p w:rsidR="005C661E" w:rsidRDefault="005C661E" w:rsidP="005C661E">
      <w:pPr>
        <w:spacing w:after="0"/>
        <w:jc w:val="both"/>
        <w:rPr>
          <w:rFonts w:ascii="Arial" w:hAnsi="Arial" w:cs="Arial"/>
          <w:sz w:val="20"/>
          <w:szCs w:val="20"/>
        </w:rPr>
      </w:pPr>
    </w:p>
    <w:p w:rsidR="00110517" w:rsidRDefault="00110517" w:rsidP="005C661E">
      <w:pPr>
        <w:spacing w:after="0"/>
        <w:jc w:val="both"/>
        <w:rPr>
          <w:rFonts w:ascii="Arial" w:hAnsi="Arial" w:cs="Arial"/>
          <w:sz w:val="20"/>
          <w:szCs w:val="20"/>
        </w:rPr>
      </w:pPr>
      <w:r>
        <w:rPr>
          <w:rFonts w:ascii="Arial" w:hAnsi="Arial" w:cs="Arial"/>
          <w:sz w:val="20"/>
          <w:szCs w:val="20"/>
        </w:rPr>
        <w:t xml:space="preserve">O recibo simples, tratando-se de pessoa física, somente poderá ser aceito em casos específicos e devidamente justificados desde que o recibo contenha descrição do bem ou serviço adquirido, </w:t>
      </w:r>
      <w:proofErr w:type="gramStart"/>
      <w:r>
        <w:rPr>
          <w:rFonts w:ascii="Arial" w:hAnsi="Arial" w:cs="Arial"/>
          <w:sz w:val="20"/>
          <w:szCs w:val="20"/>
        </w:rPr>
        <w:t>expressa</w:t>
      </w:r>
      <w:proofErr w:type="gramEnd"/>
      <w:r>
        <w:rPr>
          <w:rFonts w:ascii="Arial" w:hAnsi="Arial" w:cs="Arial"/>
          <w:sz w:val="20"/>
          <w:szCs w:val="20"/>
        </w:rPr>
        <w:t xml:space="preserve"> menção ao número do convênio, data e nome do órgão concedente, conforme Resolução nº 28/2011, art. 19. </w:t>
      </w:r>
    </w:p>
    <w:p w:rsidR="005C661E" w:rsidRDefault="005C661E" w:rsidP="005C661E">
      <w:pPr>
        <w:spacing w:after="0"/>
        <w:jc w:val="both"/>
        <w:rPr>
          <w:rFonts w:ascii="Arial" w:hAnsi="Arial" w:cs="Arial"/>
          <w:sz w:val="20"/>
          <w:szCs w:val="20"/>
        </w:rPr>
      </w:pPr>
    </w:p>
    <w:p w:rsidR="00110517" w:rsidRDefault="00110517" w:rsidP="005C661E">
      <w:pPr>
        <w:spacing w:after="0"/>
        <w:jc w:val="both"/>
        <w:rPr>
          <w:rFonts w:ascii="Arial" w:hAnsi="Arial" w:cs="Arial"/>
          <w:sz w:val="20"/>
          <w:szCs w:val="20"/>
        </w:rPr>
      </w:pPr>
      <w:r>
        <w:rPr>
          <w:rFonts w:ascii="Arial" w:hAnsi="Arial" w:cs="Arial"/>
          <w:sz w:val="20"/>
          <w:szCs w:val="20"/>
        </w:rPr>
        <w:t xml:space="preserve">Impôs-se a devolução parcial dos recursos do convênio, de forma solidária pela entidade tomadora e seu presidente, com recomendação para a readequação dos procedimentos utilizados às exigências da Resolução nº 28/2011 e da IN nº 61/2011. </w:t>
      </w:r>
    </w:p>
    <w:p w:rsidR="003A6622" w:rsidRDefault="003A6622" w:rsidP="005C661E">
      <w:pPr>
        <w:spacing w:after="0"/>
        <w:jc w:val="both"/>
        <w:rPr>
          <w:rFonts w:ascii="Arial" w:hAnsi="Arial" w:cs="Arial"/>
          <w:sz w:val="20"/>
          <w:szCs w:val="20"/>
        </w:rPr>
      </w:pPr>
    </w:p>
    <w:p w:rsidR="00110517" w:rsidRDefault="00110517" w:rsidP="005C661E">
      <w:pPr>
        <w:spacing w:after="0"/>
        <w:jc w:val="both"/>
        <w:rPr>
          <w:rFonts w:ascii="Arial" w:hAnsi="Arial" w:cs="Arial"/>
          <w:sz w:val="20"/>
          <w:szCs w:val="20"/>
        </w:rPr>
      </w:pPr>
      <w:r>
        <w:rPr>
          <w:rFonts w:ascii="Arial" w:hAnsi="Arial" w:cs="Arial"/>
          <w:sz w:val="20"/>
          <w:szCs w:val="20"/>
        </w:rPr>
        <w:t xml:space="preserve">Processo nº 125041/15 </w:t>
      </w:r>
      <w:r w:rsidR="00441E59">
        <w:rPr>
          <w:rFonts w:ascii="Arial" w:hAnsi="Arial" w:cs="Arial"/>
          <w:sz w:val="20"/>
          <w:szCs w:val="20"/>
        </w:rPr>
        <w:t>-</w:t>
      </w:r>
      <w:r>
        <w:rPr>
          <w:rFonts w:ascii="Arial" w:hAnsi="Arial" w:cs="Arial"/>
          <w:sz w:val="20"/>
          <w:szCs w:val="20"/>
        </w:rPr>
        <w:t xml:space="preserve"> </w:t>
      </w:r>
      <w:hyperlink r:id="rId9" w:history="1">
        <w:r w:rsidRPr="004E142D">
          <w:rPr>
            <w:rStyle w:val="Hyperlink"/>
            <w:rFonts w:ascii="Arial" w:hAnsi="Arial" w:cs="Arial"/>
            <w:sz w:val="20"/>
            <w:szCs w:val="20"/>
          </w:rPr>
          <w:t>Acórdão nº 1137/17-</w:t>
        </w:r>
        <w:r w:rsidR="00441E59">
          <w:rPr>
            <w:rStyle w:val="Hyperlink"/>
            <w:rFonts w:ascii="Arial" w:hAnsi="Arial" w:cs="Arial"/>
            <w:sz w:val="20"/>
            <w:szCs w:val="20"/>
          </w:rPr>
          <w:t xml:space="preserve"> Primeira </w:t>
        </w:r>
        <w:r w:rsidRPr="004E142D">
          <w:rPr>
            <w:rStyle w:val="Hyperlink"/>
            <w:rFonts w:ascii="Arial" w:hAnsi="Arial" w:cs="Arial"/>
            <w:sz w:val="20"/>
            <w:szCs w:val="20"/>
          </w:rPr>
          <w:t>Câmara</w:t>
        </w:r>
      </w:hyperlink>
      <w:r>
        <w:rPr>
          <w:rFonts w:ascii="Arial" w:hAnsi="Arial" w:cs="Arial"/>
          <w:sz w:val="20"/>
          <w:szCs w:val="20"/>
        </w:rPr>
        <w:t xml:space="preserve"> </w:t>
      </w:r>
      <w:r w:rsidR="00441E59">
        <w:rPr>
          <w:rFonts w:ascii="Arial" w:hAnsi="Arial" w:cs="Arial"/>
          <w:sz w:val="20"/>
          <w:szCs w:val="20"/>
        </w:rPr>
        <w:t>-</w:t>
      </w:r>
      <w:r>
        <w:rPr>
          <w:rFonts w:ascii="Arial" w:hAnsi="Arial" w:cs="Arial"/>
          <w:sz w:val="20"/>
          <w:szCs w:val="20"/>
        </w:rPr>
        <w:t xml:space="preserve"> Rel. Conselheiro Nestor Baptista.</w:t>
      </w:r>
    </w:p>
    <w:p w:rsidR="00441E59" w:rsidRDefault="00441E59" w:rsidP="002805F1">
      <w:pPr>
        <w:autoSpaceDE w:val="0"/>
        <w:autoSpaceDN w:val="0"/>
        <w:adjustRightInd w:val="0"/>
        <w:spacing w:after="0"/>
        <w:jc w:val="both"/>
        <w:rPr>
          <w:rFonts w:ascii="Arial" w:hAnsi="Arial" w:cs="Arial"/>
          <w:b/>
          <w:sz w:val="20"/>
          <w:szCs w:val="20"/>
        </w:rPr>
      </w:pPr>
    </w:p>
    <w:p w:rsidR="002805F1" w:rsidRDefault="002A0792" w:rsidP="002805F1">
      <w:pPr>
        <w:autoSpaceDE w:val="0"/>
        <w:autoSpaceDN w:val="0"/>
        <w:adjustRightInd w:val="0"/>
        <w:spacing w:after="0"/>
        <w:jc w:val="both"/>
        <w:rPr>
          <w:rFonts w:ascii="Arial" w:hAnsi="Arial" w:cs="Arial"/>
          <w:b/>
          <w:sz w:val="20"/>
          <w:szCs w:val="20"/>
        </w:rPr>
      </w:pPr>
      <w:r>
        <w:rPr>
          <w:rFonts w:ascii="Arial" w:hAnsi="Arial" w:cs="Arial"/>
          <w:b/>
          <w:sz w:val="20"/>
          <w:szCs w:val="20"/>
        </w:rPr>
        <w:t xml:space="preserve">2. </w:t>
      </w:r>
      <w:r w:rsidR="002805F1" w:rsidRPr="00FF2E10">
        <w:rPr>
          <w:rFonts w:ascii="Arial" w:hAnsi="Arial" w:cs="Arial"/>
          <w:b/>
          <w:sz w:val="20"/>
          <w:szCs w:val="20"/>
        </w:rPr>
        <w:t>Tomada de Contas Extraordinária. Funções de contador e assessor jurídico. Terceirização. Proibição. Violação do Prejulgado 06/TCE-PR.</w:t>
      </w:r>
    </w:p>
    <w:p w:rsidR="002805F1" w:rsidRPr="00FF2E10" w:rsidRDefault="002805F1" w:rsidP="002805F1">
      <w:pPr>
        <w:autoSpaceDE w:val="0"/>
        <w:autoSpaceDN w:val="0"/>
        <w:adjustRightInd w:val="0"/>
        <w:spacing w:after="0"/>
        <w:jc w:val="both"/>
        <w:rPr>
          <w:rFonts w:ascii="Arial" w:hAnsi="Arial" w:cs="Arial"/>
          <w:b/>
          <w:sz w:val="20"/>
          <w:szCs w:val="20"/>
        </w:rPr>
      </w:pPr>
    </w:p>
    <w:p w:rsidR="006766F4" w:rsidRDefault="002805F1" w:rsidP="002805F1">
      <w:pPr>
        <w:autoSpaceDE w:val="0"/>
        <w:autoSpaceDN w:val="0"/>
        <w:adjustRightInd w:val="0"/>
        <w:spacing w:after="0"/>
        <w:jc w:val="both"/>
        <w:rPr>
          <w:rFonts w:ascii="Arial" w:hAnsi="Arial" w:cs="Arial"/>
          <w:sz w:val="20"/>
          <w:szCs w:val="20"/>
        </w:rPr>
      </w:pPr>
      <w:r>
        <w:rPr>
          <w:rFonts w:ascii="Arial" w:hAnsi="Arial" w:cs="Arial"/>
          <w:sz w:val="20"/>
          <w:szCs w:val="20"/>
        </w:rPr>
        <w:lastRenderedPageBreak/>
        <w:t xml:space="preserve">Os cargos de Contador e Assessor Jurídico devem ser providos por meio de concurso público. Esse entendimento é consolidado na Corte de Contas e firmado por </w:t>
      </w:r>
      <w:r w:rsidRPr="00557217">
        <w:rPr>
          <w:rFonts w:ascii="Arial" w:hAnsi="Arial" w:cs="Arial"/>
          <w:sz w:val="20"/>
          <w:szCs w:val="20"/>
        </w:rPr>
        <w:t>meio do Prejulgado n.º 06</w:t>
      </w:r>
      <w:r>
        <w:rPr>
          <w:rFonts w:ascii="Arial" w:hAnsi="Arial" w:cs="Arial"/>
          <w:sz w:val="20"/>
          <w:szCs w:val="20"/>
        </w:rPr>
        <w:t xml:space="preserve">, que trata </w:t>
      </w:r>
      <w:r w:rsidRPr="00557217">
        <w:rPr>
          <w:rFonts w:ascii="Arial" w:hAnsi="Arial" w:cs="Arial"/>
          <w:sz w:val="20"/>
          <w:szCs w:val="20"/>
        </w:rPr>
        <w:t>da prestação de serviços contábeis e juríd</w:t>
      </w:r>
      <w:r>
        <w:rPr>
          <w:rFonts w:ascii="Arial" w:hAnsi="Arial" w:cs="Arial"/>
          <w:sz w:val="20"/>
          <w:szCs w:val="20"/>
        </w:rPr>
        <w:t>icos por empresas terceirizadas</w:t>
      </w:r>
      <w:r w:rsidRPr="00557217">
        <w:rPr>
          <w:rFonts w:ascii="Arial" w:hAnsi="Arial" w:cs="Arial"/>
          <w:sz w:val="20"/>
          <w:szCs w:val="20"/>
        </w:rPr>
        <w:t xml:space="preserve">. Primeiramente, há uma prioridade ao preenchimento da função por concurso público (art. 37, II, da Constituição Federal), caso haja o cargo de Contador ou Procurador na entidade, o que é revelado por uma série de instrumentos previstos nessa decisão para cumprimento do dispositivo constitucional, especialmente para Municípios de menor porte: a) revisão do quadro de servidores para adequação às necessidades de mercado, b) diminuição da carga horária diária, de forma a tornar a função mais atrativa. </w:t>
      </w:r>
    </w:p>
    <w:p w:rsidR="006766F4" w:rsidRDefault="006766F4" w:rsidP="002805F1">
      <w:pPr>
        <w:autoSpaceDE w:val="0"/>
        <w:autoSpaceDN w:val="0"/>
        <w:adjustRightInd w:val="0"/>
        <w:spacing w:after="0"/>
        <w:jc w:val="both"/>
        <w:rPr>
          <w:rFonts w:ascii="Arial" w:hAnsi="Arial" w:cs="Arial"/>
          <w:sz w:val="20"/>
          <w:szCs w:val="20"/>
        </w:rPr>
      </w:pPr>
    </w:p>
    <w:p w:rsidR="002805F1" w:rsidRDefault="002805F1" w:rsidP="002805F1">
      <w:pPr>
        <w:autoSpaceDE w:val="0"/>
        <w:autoSpaceDN w:val="0"/>
        <w:adjustRightInd w:val="0"/>
        <w:spacing w:after="0"/>
        <w:jc w:val="both"/>
        <w:rPr>
          <w:rFonts w:ascii="Arial" w:hAnsi="Arial" w:cs="Arial"/>
          <w:sz w:val="20"/>
          <w:szCs w:val="20"/>
        </w:rPr>
      </w:pPr>
      <w:r w:rsidRPr="00557217">
        <w:rPr>
          <w:rFonts w:ascii="Arial" w:hAnsi="Arial" w:cs="Arial"/>
          <w:sz w:val="20"/>
          <w:szCs w:val="20"/>
        </w:rPr>
        <w:t>Somente após a frustração de concurso público, mesmo com os instrumentos acima, é que se torna possível a realização da contratação de Contador e/ou Procurador por meio de processo licitatório. De toda forma, a terceirização de serviços contábeis e jurídicos pela Câmara somente seria possível caso o cargo</w:t>
      </w:r>
      <w:r>
        <w:rPr>
          <w:rFonts w:ascii="Arial" w:hAnsi="Arial" w:cs="Arial"/>
          <w:sz w:val="20"/>
          <w:szCs w:val="20"/>
        </w:rPr>
        <w:t xml:space="preserve"> de Contador ou Procurador esti</w:t>
      </w:r>
      <w:r w:rsidRPr="00557217">
        <w:rPr>
          <w:rFonts w:ascii="Arial" w:hAnsi="Arial" w:cs="Arial"/>
          <w:sz w:val="20"/>
          <w:szCs w:val="20"/>
        </w:rPr>
        <w:t>vessem em extinção, ou não existissem na estrutura municipal.</w:t>
      </w:r>
    </w:p>
    <w:p w:rsidR="002805F1" w:rsidRDefault="002805F1" w:rsidP="002805F1">
      <w:pPr>
        <w:spacing w:after="0"/>
        <w:jc w:val="both"/>
        <w:rPr>
          <w:rFonts w:ascii="Arial" w:hAnsi="Arial" w:cs="Arial"/>
          <w:sz w:val="20"/>
          <w:szCs w:val="20"/>
        </w:rPr>
      </w:pPr>
    </w:p>
    <w:p w:rsidR="002805F1" w:rsidRDefault="002805F1" w:rsidP="002805F1">
      <w:pPr>
        <w:spacing w:after="0"/>
        <w:jc w:val="both"/>
        <w:rPr>
          <w:rFonts w:ascii="Arial" w:hAnsi="Arial" w:cs="Arial"/>
          <w:sz w:val="20"/>
          <w:szCs w:val="20"/>
        </w:rPr>
      </w:pPr>
      <w:r>
        <w:rPr>
          <w:rFonts w:ascii="Arial" w:hAnsi="Arial" w:cs="Arial"/>
          <w:sz w:val="20"/>
          <w:szCs w:val="20"/>
        </w:rPr>
        <w:t xml:space="preserve">Processo n° </w:t>
      </w:r>
      <w:r w:rsidRPr="00FF2E10">
        <w:rPr>
          <w:rFonts w:ascii="Arial" w:hAnsi="Arial" w:cs="Arial"/>
          <w:sz w:val="20"/>
          <w:szCs w:val="20"/>
        </w:rPr>
        <w:t xml:space="preserve">797860/12 </w:t>
      </w:r>
      <w:r>
        <w:rPr>
          <w:rFonts w:ascii="Arial" w:hAnsi="Arial" w:cs="Arial"/>
          <w:sz w:val="20"/>
          <w:szCs w:val="20"/>
        </w:rPr>
        <w:t xml:space="preserve">- </w:t>
      </w:r>
      <w:hyperlink r:id="rId10" w:history="1">
        <w:r w:rsidRPr="00FF2E10">
          <w:rPr>
            <w:rStyle w:val="Hyperlink"/>
            <w:rFonts w:ascii="Arial" w:hAnsi="Arial" w:cs="Arial"/>
            <w:sz w:val="20"/>
            <w:szCs w:val="20"/>
          </w:rPr>
          <w:t>Acórdão n° 983/17 - Primeira Câmara</w:t>
        </w:r>
      </w:hyperlink>
      <w:r>
        <w:rPr>
          <w:rFonts w:ascii="Arial" w:hAnsi="Arial" w:cs="Arial"/>
          <w:sz w:val="20"/>
          <w:szCs w:val="20"/>
        </w:rPr>
        <w:t xml:space="preserve"> - Rel. Conselheiro </w:t>
      </w:r>
      <w:r w:rsidRPr="00FF2E10">
        <w:rPr>
          <w:rFonts w:ascii="Arial" w:hAnsi="Arial" w:cs="Arial"/>
          <w:sz w:val="20"/>
          <w:szCs w:val="20"/>
        </w:rPr>
        <w:t>Nestor Baptista</w:t>
      </w:r>
      <w:r>
        <w:rPr>
          <w:rFonts w:ascii="Arial" w:hAnsi="Arial" w:cs="Arial"/>
          <w:sz w:val="20"/>
          <w:szCs w:val="20"/>
        </w:rPr>
        <w:t xml:space="preserve">.  </w:t>
      </w:r>
    </w:p>
    <w:p w:rsidR="002805F1" w:rsidRDefault="002805F1" w:rsidP="002805F1">
      <w:pPr>
        <w:autoSpaceDE w:val="0"/>
        <w:autoSpaceDN w:val="0"/>
        <w:adjustRightInd w:val="0"/>
        <w:spacing w:after="0"/>
        <w:jc w:val="both"/>
        <w:rPr>
          <w:rFonts w:ascii="Arial" w:hAnsi="Arial" w:cs="Arial"/>
          <w:sz w:val="20"/>
          <w:szCs w:val="20"/>
        </w:rPr>
      </w:pPr>
    </w:p>
    <w:p w:rsidR="002805F1" w:rsidRDefault="002A0792" w:rsidP="002805F1">
      <w:pPr>
        <w:autoSpaceDE w:val="0"/>
        <w:autoSpaceDN w:val="0"/>
        <w:adjustRightInd w:val="0"/>
        <w:spacing w:after="0"/>
        <w:jc w:val="both"/>
        <w:rPr>
          <w:rFonts w:ascii="Arial" w:hAnsi="Arial" w:cs="Arial"/>
          <w:b/>
          <w:sz w:val="20"/>
          <w:szCs w:val="20"/>
        </w:rPr>
      </w:pPr>
      <w:r>
        <w:rPr>
          <w:rFonts w:ascii="Arial" w:hAnsi="Arial" w:cs="Arial"/>
          <w:b/>
          <w:sz w:val="20"/>
          <w:szCs w:val="20"/>
        </w:rPr>
        <w:t xml:space="preserve">3. </w:t>
      </w:r>
      <w:r w:rsidR="002805F1" w:rsidRPr="0097336A">
        <w:rPr>
          <w:rFonts w:ascii="Arial" w:hAnsi="Arial" w:cs="Arial"/>
          <w:b/>
          <w:sz w:val="20"/>
          <w:szCs w:val="20"/>
        </w:rPr>
        <w:t xml:space="preserve">Tomadas de </w:t>
      </w:r>
      <w:proofErr w:type="gramStart"/>
      <w:r w:rsidR="002805F1" w:rsidRPr="0097336A">
        <w:rPr>
          <w:rFonts w:ascii="Arial" w:hAnsi="Arial" w:cs="Arial"/>
          <w:b/>
          <w:sz w:val="20"/>
          <w:szCs w:val="20"/>
        </w:rPr>
        <w:t>Contas Extraordinária</w:t>
      </w:r>
      <w:proofErr w:type="gramEnd"/>
      <w:r w:rsidR="002805F1" w:rsidRPr="0097336A">
        <w:rPr>
          <w:rFonts w:ascii="Arial" w:hAnsi="Arial" w:cs="Arial"/>
          <w:b/>
          <w:sz w:val="20"/>
          <w:szCs w:val="20"/>
        </w:rPr>
        <w:t xml:space="preserve">. Poder Legislativo. Função de legislar. Atividade fim. Terceirização. Proibição. </w:t>
      </w:r>
    </w:p>
    <w:p w:rsidR="002805F1" w:rsidRPr="0097336A" w:rsidRDefault="002805F1" w:rsidP="002805F1">
      <w:pPr>
        <w:autoSpaceDE w:val="0"/>
        <w:autoSpaceDN w:val="0"/>
        <w:adjustRightInd w:val="0"/>
        <w:spacing w:after="0"/>
        <w:jc w:val="both"/>
        <w:rPr>
          <w:rFonts w:ascii="Arial" w:hAnsi="Arial" w:cs="Arial"/>
          <w:b/>
          <w:sz w:val="20"/>
          <w:szCs w:val="20"/>
        </w:rPr>
      </w:pPr>
    </w:p>
    <w:p w:rsidR="002805F1" w:rsidRDefault="002805F1" w:rsidP="002805F1">
      <w:pPr>
        <w:autoSpaceDE w:val="0"/>
        <w:autoSpaceDN w:val="0"/>
        <w:adjustRightInd w:val="0"/>
        <w:spacing w:after="0"/>
        <w:jc w:val="both"/>
        <w:rPr>
          <w:rFonts w:ascii="Arial" w:hAnsi="Arial" w:cs="Arial"/>
          <w:sz w:val="20"/>
          <w:szCs w:val="20"/>
        </w:rPr>
      </w:pPr>
      <w:r>
        <w:rPr>
          <w:rFonts w:ascii="Arial" w:hAnsi="Arial" w:cs="Arial"/>
          <w:sz w:val="20"/>
          <w:szCs w:val="20"/>
        </w:rPr>
        <w:t xml:space="preserve">A contratação, pelo Poder Legislativo, de empresa para elaborar regimento interno da respectiva casa configura terceirização de atividade fim. O Poder Legislativo tem como </w:t>
      </w:r>
      <w:proofErr w:type="gramStart"/>
      <w:r>
        <w:rPr>
          <w:rFonts w:ascii="Arial" w:hAnsi="Arial" w:cs="Arial"/>
          <w:sz w:val="20"/>
          <w:szCs w:val="20"/>
        </w:rPr>
        <w:t>atribuição primordial legislar, e essa atribuição não pode ser</w:t>
      </w:r>
      <w:proofErr w:type="gramEnd"/>
      <w:r>
        <w:rPr>
          <w:rFonts w:ascii="Arial" w:hAnsi="Arial" w:cs="Arial"/>
          <w:sz w:val="20"/>
          <w:szCs w:val="20"/>
        </w:rPr>
        <w:t xml:space="preserve"> transferida ao particular por meio de terceirização, pois a empresa estaria substituindo o parlamentar no seu papel institucional, para o qual eleito pelo voto popular. </w:t>
      </w:r>
    </w:p>
    <w:p w:rsidR="002805F1" w:rsidRDefault="002805F1" w:rsidP="002805F1">
      <w:pPr>
        <w:autoSpaceDE w:val="0"/>
        <w:autoSpaceDN w:val="0"/>
        <w:adjustRightInd w:val="0"/>
        <w:spacing w:after="0"/>
        <w:jc w:val="both"/>
        <w:rPr>
          <w:rFonts w:ascii="Arial" w:hAnsi="Arial" w:cs="Arial"/>
          <w:sz w:val="20"/>
          <w:szCs w:val="20"/>
        </w:rPr>
      </w:pPr>
      <w:r>
        <w:rPr>
          <w:rFonts w:ascii="Arial" w:hAnsi="Arial" w:cs="Arial"/>
          <w:sz w:val="20"/>
          <w:szCs w:val="20"/>
        </w:rPr>
        <w:t xml:space="preserve">    </w:t>
      </w:r>
    </w:p>
    <w:p w:rsidR="002805F1" w:rsidRDefault="002805F1" w:rsidP="00791D74">
      <w:pPr>
        <w:autoSpaceDE w:val="0"/>
        <w:autoSpaceDN w:val="0"/>
        <w:adjustRightInd w:val="0"/>
        <w:spacing w:after="0"/>
        <w:jc w:val="both"/>
        <w:rPr>
          <w:rFonts w:ascii="Arial" w:hAnsi="Arial" w:cs="Arial"/>
          <w:sz w:val="20"/>
          <w:szCs w:val="20"/>
        </w:rPr>
      </w:pPr>
      <w:r>
        <w:rPr>
          <w:rFonts w:ascii="Arial" w:hAnsi="Arial" w:cs="Arial"/>
          <w:sz w:val="20"/>
          <w:szCs w:val="20"/>
        </w:rPr>
        <w:t>Processo n° 450316</w:t>
      </w:r>
      <w:r w:rsidRPr="00FF2E10">
        <w:rPr>
          <w:rFonts w:ascii="Arial" w:hAnsi="Arial" w:cs="Arial"/>
          <w:sz w:val="20"/>
          <w:szCs w:val="20"/>
        </w:rPr>
        <w:t>/1</w:t>
      </w:r>
      <w:r>
        <w:rPr>
          <w:rFonts w:ascii="Arial" w:hAnsi="Arial" w:cs="Arial"/>
          <w:sz w:val="20"/>
          <w:szCs w:val="20"/>
        </w:rPr>
        <w:t>3</w:t>
      </w:r>
      <w:r w:rsidRPr="00FF2E10">
        <w:rPr>
          <w:rFonts w:ascii="Arial" w:hAnsi="Arial" w:cs="Arial"/>
          <w:sz w:val="20"/>
          <w:szCs w:val="20"/>
        </w:rPr>
        <w:t xml:space="preserve"> </w:t>
      </w:r>
      <w:r>
        <w:rPr>
          <w:rFonts w:ascii="Arial" w:hAnsi="Arial" w:cs="Arial"/>
          <w:sz w:val="20"/>
          <w:szCs w:val="20"/>
        </w:rPr>
        <w:t xml:space="preserve">- </w:t>
      </w:r>
      <w:hyperlink r:id="rId11" w:history="1">
        <w:r w:rsidRPr="0097336A">
          <w:rPr>
            <w:rStyle w:val="Hyperlink"/>
            <w:rFonts w:ascii="Arial" w:hAnsi="Arial" w:cs="Arial"/>
            <w:sz w:val="20"/>
            <w:szCs w:val="20"/>
          </w:rPr>
          <w:t>Acórdão n° 1014/17 - Primeira Câmara</w:t>
        </w:r>
      </w:hyperlink>
      <w:r>
        <w:rPr>
          <w:rFonts w:ascii="Arial" w:hAnsi="Arial" w:cs="Arial"/>
          <w:sz w:val="20"/>
          <w:szCs w:val="20"/>
        </w:rPr>
        <w:t xml:space="preserve"> - Rel. Cons. </w:t>
      </w:r>
      <w:r w:rsidRPr="0097336A">
        <w:rPr>
          <w:rFonts w:ascii="Arial" w:hAnsi="Arial" w:cs="Arial"/>
          <w:sz w:val="20"/>
          <w:szCs w:val="20"/>
        </w:rPr>
        <w:t xml:space="preserve">Fabio </w:t>
      </w:r>
      <w:r>
        <w:rPr>
          <w:rFonts w:ascii="Arial" w:hAnsi="Arial" w:cs="Arial"/>
          <w:sz w:val="20"/>
          <w:szCs w:val="20"/>
        </w:rPr>
        <w:t>d</w:t>
      </w:r>
      <w:r w:rsidRPr="0097336A">
        <w:rPr>
          <w:rFonts w:ascii="Arial" w:hAnsi="Arial" w:cs="Arial"/>
          <w:sz w:val="20"/>
          <w:szCs w:val="20"/>
        </w:rPr>
        <w:t>e Souza Camargo</w:t>
      </w:r>
      <w:r>
        <w:rPr>
          <w:rFonts w:ascii="Arial" w:hAnsi="Arial" w:cs="Arial"/>
          <w:sz w:val="20"/>
          <w:szCs w:val="20"/>
        </w:rPr>
        <w:t xml:space="preserve">.  </w:t>
      </w:r>
    </w:p>
    <w:p w:rsidR="002805F1" w:rsidRDefault="002805F1" w:rsidP="002805F1">
      <w:pPr>
        <w:spacing w:after="0"/>
        <w:jc w:val="both"/>
        <w:rPr>
          <w:rFonts w:ascii="Arial" w:hAnsi="Arial" w:cs="Arial"/>
          <w:sz w:val="20"/>
          <w:szCs w:val="20"/>
        </w:rPr>
      </w:pPr>
    </w:p>
    <w:p w:rsidR="00EC3842" w:rsidRPr="00722924" w:rsidRDefault="00EC3842" w:rsidP="00EC3842">
      <w:pPr>
        <w:shd w:val="pct10" w:color="auto" w:fill="auto"/>
        <w:jc w:val="center"/>
        <w:rPr>
          <w:rFonts w:ascii="Arial" w:hAnsi="Arial" w:cs="Arial"/>
          <w:b/>
        </w:rPr>
      </w:pPr>
      <w:r>
        <w:rPr>
          <w:rFonts w:ascii="Arial" w:hAnsi="Arial" w:cs="Arial"/>
          <w:b/>
        </w:rPr>
        <w:t>SEGUNDA</w:t>
      </w:r>
      <w:r w:rsidRPr="00722924">
        <w:rPr>
          <w:rFonts w:ascii="Arial" w:hAnsi="Arial" w:cs="Arial"/>
          <w:b/>
        </w:rPr>
        <w:t xml:space="preserve"> CÂMARA</w:t>
      </w:r>
    </w:p>
    <w:p w:rsidR="00791D74" w:rsidRDefault="00D80DF0" w:rsidP="00791D74">
      <w:pPr>
        <w:spacing w:after="0"/>
        <w:jc w:val="both"/>
        <w:rPr>
          <w:rFonts w:ascii="Arial" w:hAnsi="Arial" w:cs="Arial"/>
          <w:b/>
          <w:sz w:val="20"/>
          <w:szCs w:val="20"/>
        </w:rPr>
      </w:pPr>
      <w:r>
        <w:rPr>
          <w:rFonts w:ascii="Arial" w:hAnsi="Arial" w:cs="Arial"/>
          <w:b/>
          <w:sz w:val="20"/>
          <w:szCs w:val="20"/>
        </w:rPr>
        <w:t xml:space="preserve">4. </w:t>
      </w:r>
      <w:r w:rsidR="00C318F6" w:rsidRPr="00AC13F8">
        <w:rPr>
          <w:rFonts w:ascii="Arial" w:hAnsi="Arial" w:cs="Arial"/>
          <w:b/>
          <w:sz w:val="20"/>
          <w:szCs w:val="20"/>
        </w:rPr>
        <w:t>Prestação de Contas Anual.</w:t>
      </w:r>
      <w:r w:rsidR="00855A43">
        <w:rPr>
          <w:rFonts w:ascii="Arial" w:hAnsi="Arial" w:cs="Arial"/>
          <w:b/>
          <w:sz w:val="20"/>
          <w:szCs w:val="20"/>
        </w:rPr>
        <w:t xml:space="preserve"> Consórcio Público.</w:t>
      </w:r>
      <w:r w:rsidR="004A0574">
        <w:rPr>
          <w:rFonts w:ascii="Arial" w:hAnsi="Arial" w:cs="Arial"/>
          <w:b/>
          <w:sz w:val="20"/>
          <w:szCs w:val="20"/>
        </w:rPr>
        <w:t xml:space="preserve"> </w:t>
      </w:r>
      <w:r w:rsidR="00C318F6" w:rsidRPr="00AC13F8">
        <w:rPr>
          <w:rFonts w:ascii="Arial" w:hAnsi="Arial" w:cs="Arial"/>
          <w:b/>
          <w:sz w:val="20"/>
          <w:szCs w:val="20"/>
        </w:rPr>
        <w:t>Competência</w:t>
      </w:r>
      <w:r w:rsidR="004A0574">
        <w:rPr>
          <w:rFonts w:ascii="Arial" w:hAnsi="Arial" w:cs="Arial"/>
          <w:b/>
          <w:sz w:val="20"/>
          <w:szCs w:val="20"/>
        </w:rPr>
        <w:t xml:space="preserve"> para Julgamento das Contas</w:t>
      </w:r>
      <w:r w:rsidR="00934143">
        <w:rPr>
          <w:rFonts w:ascii="Arial" w:hAnsi="Arial" w:cs="Arial"/>
          <w:b/>
          <w:sz w:val="20"/>
          <w:szCs w:val="20"/>
        </w:rPr>
        <w:t xml:space="preserve"> pertence ao </w:t>
      </w:r>
      <w:r w:rsidR="00C318F6" w:rsidRPr="00AC13F8">
        <w:rPr>
          <w:rFonts w:ascii="Arial" w:hAnsi="Arial" w:cs="Arial"/>
          <w:b/>
          <w:sz w:val="20"/>
          <w:szCs w:val="20"/>
        </w:rPr>
        <w:t>Tribunal de Contas</w:t>
      </w:r>
      <w:r w:rsidR="00855A43">
        <w:rPr>
          <w:rFonts w:ascii="Arial" w:hAnsi="Arial" w:cs="Arial"/>
          <w:b/>
          <w:sz w:val="20"/>
          <w:szCs w:val="20"/>
        </w:rPr>
        <w:t xml:space="preserve"> e não </w:t>
      </w:r>
      <w:r w:rsidR="00344A3D">
        <w:rPr>
          <w:rFonts w:ascii="Arial" w:hAnsi="Arial" w:cs="Arial"/>
          <w:b/>
          <w:sz w:val="20"/>
          <w:szCs w:val="20"/>
        </w:rPr>
        <w:t>a</w:t>
      </w:r>
      <w:r w:rsidR="00855A43">
        <w:rPr>
          <w:rFonts w:ascii="Arial" w:hAnsi="Arial" w:cs="Arial"/>
          <w:b/>
          <w:sz w:val="20"/>
          <w:szCs w:val="20"/>
        </w:rPr>
        <w:t>o Poder Legislativo</w:t>
      </w:r>
      <w:r w:rsidR="00C318F6" w:rsidRPr="00AC13F8">
        <w:rPr>
          <w:rFonts w:ascii="Arial" w:hAnsi="Arial" w:cs="Arial"/>
          <w:b/>
          <w:sz w:val="20"/>
          <w:szCs w:val="20"/>
        </w:rPr>
        <w:t>.</w:t>
      </w:r>
      <w:r w:rsidR="008B38EE">
        <w:rPr>
          <w:rFonts w:ascii="Arial" w:hAnsi="Arial" w:cs="Arial"/>
          <w:b/>
          <w:sz w:val="20"/>
          <w:szCs w:val="20"/>
        </w:rPr>
        <w:t xml:space="preserve"> Não Incidência da decisão do STF no RE n° 848.826/DF.</w:t>
      </w:r>
    </w:p>
    <w:p w:rsidR="004A0574" w:rsidRDefault="00C318F6" w:rsidP="00791D74">
      <w:pPr>
        <w:spacing w:after="0"/>
        <w:jc w:val="both"/>
        <w:rPr>
          <w:rFonts w:ascii="Arial" w:hAnsi="Arial" w:cs="Arial"/>
          <w:b/>
          <w:sz w:val="20"/>
          <w:szCs w:val="20"/>
        </w:rPr>
      </w:pPr>
      <w:r w:rsidRPr="00AC13F8">
        <w:rPr>
          <w:rFonts w:ascii="Arial" w:hAnsi="Arial" w:cs="Arial"/>
          <w:b/>
          <w:sz w:val="20"/>
          <w:szCs w:val="20"/>
        </w:rPr>
        <w:t xml:space="preserve"> </w:t>
      </w:r>
    </w:p>
    <w:p w:rsidR="00791D74" w:rsidRDefault="00C318F6" w:rsidP="00791D74">
      <w:pPr>
        <w:spacing w:after="0"/>
        <w:jc w:val="both"/>
        <w:rPr>
          <w:rFonts w:ascii="Arial" w:hAnsi="Arial" w:cs="Arial"/>
          <w:sz w:val="20"/>
          <w:szCs w:val="20"/>
        </w:rPr>
      </w:pPr>
      <w:r>
        <w:rPr>
          <w:rFonts w:ascii="Arial" w:hAnsi="Arial" w:cs="Arial"/>
          <w:sz w:val="20"/>
          <w:szCs w:val="20"/>
        </w:rPr>
        <w:t>Prestação de Contas do Consórcio Metropolitano de Saúde do Paraná - COMESP, exercício financeiro de 2014, recebeu instrução e parecer, respectivamente da Coordenadoria de Fiscalização Municipal e Ministério Público de Contas, pela regularidade das contas. Asseverou o “</w:t>
      </w:r>
      <w:r w:rsidRPr="00C318F6">
        <w:rPr>
          <w:rFonts w:ascii="Arial" w:hAnsi="Arial" w:cs="Arial"/>
          <w:i/>
          <w:sz w:val="20"/>
          <w:szCs w:val="20"/>
        </w:rPr>
        <w:t>parquet</w:t>
      </w:r>
      <w:r>
        <w:rPr>
          <w:rFonts w:ascii="Arial" w:hAnsi="Arial" w:cs="Arial"/>
          <w:sz w:val="20"/>
          <w:szCs w:val="20"/>
        </w:rPr>
        <w:t>” - respaldando-se em decisão do STF no RE</w:t>
      </w:r>
      <w:r w:rsidR="008B38EE">
        <w:rPr>
          <w:rFonts w:ascii="Arial" w:hAnsi="Arial" w:cs="Arial"/>
          <w:sz w:val="20"/>
          <w:szCs w:val="20"/>
        </w:rPr>
        <w:t xml:space="preserve"> n°</w:t>
      </w:r>
      <w:r>
        <w:rPr>
          <w:rFonts w:ascii="Arial" w:hAnsi="Arial" w:cs="Arial"/>
          <w:sz w:val="20"/>
          <w:szCs w:val="20"/>
        </w:rPr>
        <w:t xml:space="preserve"> 848.826/DF -, que se trata de caso de emissão de Parecer Prévio já que pertence ao Poder Legislativo local a competência para julgamento das prestações de contas anuais do Consórcio.</w:t>
      </w:r>
    </w:p>
    <w:p w:rsidR="00C318F6" w:rsidRDefault="00C318F6" w:rsidP="00791D74">
      <w:pPr>
        <w:spacing w:after="0"/>
        <w:jc w:val="both"/>
        <w:rPr>
          <w:rFonts w:ascii="Arial" w:hAnsi="Arial" w:cs="Arial"/>
          <w:sz w:val="20"/>
          <w:szCs w:val="20"/>
        </w:rPr>
      </w:pPr>
      <w:r>
        <w:rPr>
          <w:rFonts w:ascii="Arial" w:hAnsi="Arial" w:cs="Arial"/>
          <w:sz w:val="20"/>
          <w:szCs w:val="20"/>
        </w:rPr>
        <w:t xml:space="preserve"> </w:t>
      </w:r>
    </w:p>
    <w:p w:rsidR="00C318F6" w:rsidRDefault="00C318F6" w:rsidP="00791D74">
      <w:pPr>
        <w:spacing w:after="0"/>
        <w:jc w:val="both"/>
        <w:rPr>
          <w:rFonts w:ascii="Arial" w:hAnsi="Arial" w:cs="Arial"/>
          <w:sz w:val="20"/>
          <w:szCs w:val="20"/>
        </w:rPr>
      </w:pPr>
      <w:r>
        <w:rPr>
          <w:rFonts w:ascii="Arial" w:hAnsi="Arial" w:cs="Arial"/>
          <w:sz w:val="20"/>
          <w:szCs w:val="20"/>
        </w:rPr>
        <w:t xml:space="preserve">Contudo, as contas do Consórcio não estão submetidas a julgamento pelo Poder Legislativo. O entendimento firmado pelo Supremo Tribunal Federal no sentido de que, tal </w:t>
      </w:r>
      <w:proofErr w:type="gramStart"/>
      <w:r>
        <w:rPr>
          <w:rFonts w:ascii="Arial" w:hAnsi="Arial" w:cs="Arial"/>
          <w:sz w:val="20"/>
          <w:szCs w:val="20"/>
        </w:rPr>
        <w:t>qual as</w:t>
      </w:r>
      <w:proofErr w:type="gramEnd"/>
      <w:r>
        <w:rPr>
          <w:rFonts w:ascii="Arial" w:hAnsi="Arial" w:cs="Arial"/>
          <w:sz w:val="20"/>
          <w:szCs w:val="20"/>
        </w:rPr>
        <w:t xml:space="preserve"> contas de governo, também as contas de gestão do Prefeito devem ser apreciadas pelas Câmaras </w:t>
      </w:r>
      <w:r>
        <w:rPr>
          <w:rFonts w:ascii="Arial" w:hAnsi="Arial" w:cs="Arial"/>
          <w:sz w:val="20"/>
          <w:szCs w:val="20"/>
        </w:rPr>
        <w:lastRenderedPageBreak/>
        <w:t xml:space="preserve">Municipais, não se aplica à situação dos autos, em que são analisadas contas de um consórcio firmado entre Municípios. </w:t>
      </w:r>
    </w:p>
    <w:p w:rsidR="00791D74" w:rsidRDefault="00791D74" w:rsidP="00791D74">
      <w:pPr>
        <w:spacing w:after="0"/>
        <w:jc w:val="both"/>
        <w:rPr>
          <w:rFonts w:ascii="Arial" w:hAnsi="Arial" w:cs="Arial"/>
          <w:sz w:val="20"/>
          <w:szCs w:val="20"/>
        </w:rPr>
      </w:pPr>
    </w:p>
    <w:p w:rsidR="00C318F6" w:rsidRDefault="00C318F6" w:rsidP="00791D74">
      <w:pPr>
        <w:spacing w:after="0"/>
        <w:jc w:val="both"/>
        <w:rPr>
          <w:rFonts w:ascii="Arial" w:hAnsi="Arial" w:cs="Arial"/>
          <w:sz w:val="20"/>
          <w:szCs w:val="20"/>
        </w:rPr>
      </w:pPr>
      <w:r>
        <w:rPr>
          <w:rFonts w:ascii="Arial" w:hAnsi="Arial" w:cs="Arial"/>
          <w:sz w:val="20"/>
          <w:szCs w:val="20"/>
        </w:rPr>
        <w:t>O julgamento pelo Tribunal de Contas de casos como o presente</w:t>
      </w:r>
      <w:proofErr w:type="gramStart"/>
      <w:r>
        <w:rPr>
          <w:rFonts w:ascii="Arial" w:hAnsi="Arial" w:cs="Arial"/>
          <w:sz w:val="20"/>
          <w:szCs w:val="20"/>
        </w:rPr>
        <w:t>, encontra</w:t>
      </w:r>
      <w:proofErr w:type="gramEnd"/>
      <w:r>
        <w:rPr>
          <w:rFonts w:ascii="Arial" w:hAnsi="Arial" w:cs="Arial"/>
          <w:sz w:val="20"/>
          <w:szCs w:val="20"/>
        </w:rPr>
        <w:t xml:space="preserve"> fundamento no art. 71, inciso II, c</w:t>
      </w:r>
      <w:r w:rsidR="004A0574">
        <w:rPr>
          <w:rFonts w:ascii="Arial" w:hAnsi="Arial" w:cs="Arial"/>
          <w:sz w:val="20"/>
          <w:szCs w:val="20"/>
        </w:rPr>
        <w:t>/c</w:t>
      </w:r>
      <w:r>
        <w:rPr>
          <w:rFonts w:ascii="Arial" w:hAnsi="Arial" w:cs="Arial"/>
          <w:sz w:val="20"/>
          <w:szCs w:val="20"/>
        </w:rPr>
        <w:t xml:space="preserve"> art. 75, ambos da Constituição Federal e no art. 9º, Parágrafo Único, da Lei Federal nº 11.107/2005. Ademais, não se mostra coerente o julgamento definitivo das contas de uma associação de municípios pelo Poder Legislativo de apenas um dos entes que a compõem. </w:t>
      </w:r>
    </w:p>
    <w:p w:rsidR="00B32C71" w:rsidRDefault="00B32C71" w:rsidP="00791D74">
      <w:pPr>
        <w:spacing w:after="0"/>
        <w:jc w:val="both"/>
        <w:rPr>
          <w:rFonts w:ascii="Arial" w:hAnsi="Arial" w:cs="Arial"/>
          <w:sz w:val="20"/>
          <w:szCs w:val="20"/>
        </w:rPr>
      </w:pPr>
    </w:p>
    <w:p w:rsidR="00C318F6" w:rsidRDefault="00C318F6" w:rsidP="00791D74">
      <w:pPr>
        <w:spacing w:after="0"/>
        <w:jc w:val="both"/>
        <w:rPr>
          <w:rFonts w:ascii="Arial" w:hAnsi="Arial" w:cs="Arial"/>
          <w:sz w:val="20"/>
          <w:szCs w:val="20"/>
        </w:rPr>
      </w:pPr>
      <w:r>
        <w:rPr>
          <w:rFonts w:ascii="Arial" w:hAnsi="Arial" w:cs="Arial"/>
          <w:sz w:val="20"/>
          <w:szCs w:val="20"/>
        </w:rPr>
        <w:t xml:space="preserve">A competência do TCE/PR para examinar as contas de gestores de consórcios intermunicipais advém do disposto no inciso II, do art. 71 da CF, portanto, cabe ao Tribunal julgar tais contas (e não emitir parecer prévio), ressalta precedente desta Corte, consubstanciado no Acórdão nº 267/17-1ªC. </w:t>
      </w:r>
    </w:p>
    <w:p w:rsidR="00791D74" w:rsidRDefault="00791D74" w:rsidP="00791D74">
      <w:pPr>
        <w:spacing w:after="0"/>
        <w:jc w:val="both"/>
        <w:rPr>
          <w:rFonts w:ascii="Arial" w:hAnsi="Arial" w:cs="Arial"/>
          <w:sz w:val="20"/>
          <w:szCs w:val="20"/>
        </w:rPr>
      </w:pPr>
    </w:p>
    <w:p w:rsidR="00C318F6" w:rsidRDefault="00C318F6" w:rsidP="00791D74">
      <w:pPr>
        <w:spacing w:after="0"/>
        <w:jc w:val="both"/>
        <w:rPr>
          <w:rFonts w:ascii="Arial" w:hAnsi="Arial" w:cs="Arial"/>
          <w:sz w:val="20"/>
          <w:szCs w:val="20"/>
        </w:rPr>
      </w:pPr>
      <w:r>
        <w:rPr>
          <w:rFonts w:ascii="Arial" w:hAnsi="Arial" w:cs="Arial"/>
          <w:sz w:val="20"/>
          <w:szCs w:val="20"/>
        </w:rPr>
        <w:t xml:space="preserve">Processo nº 353907/15 </w:t>
      </w:r>
      <w:r w:rsidR="00791D74">
        <w:rPr>
          <w:rFonts w:ascii="Arial" w:hAnsi="Arial" w:cs="Arial"/>
          <w:sz w:val="20"/>
          <w:szCs w:val="20"/>
        </w:rPr>
        <w:t>-</w:t>
      </w:r>
      <w:r>
        <w:rPr>
          <w:rFonts w:ascii="Arial" w:hAnsi="Arial" w:cs="Arial"/>
          <w:sz w:val="20"/>
          <w:szCs w:val="20"/>
        </w:rPr>
        <w:t xml:space="preserve"> </w:t>
      </w:r>
      <w:hyperlink r:id="rId12" w:history="1">
        <w:r w:rsidRPr="004E142D">
          <w:rPr>
            <w:rStyle w:val="Hyperlink"/>
            <w:rFonts w:ascii="Arial" w:hAnsi="Arial" w:cs="Arial"/>
            <w:sz w:val="20"/>
            <w:szCs w:val="20"/>
          </w:rPr>
          <w:t xml:space="preserve">Acórdão nº 1062/17 </w:t>
        </w:r>
        <w:r w:rsidR="00791D74">
          <w:rPr>
            <w:rStyle w:val="Hyperlink"/>
            <w:rFonts w:ascii="Arial" w:hAnsi="Arial" w:cs="Arial"/>
            <w:sz w:val="20"/>
            <w:szCs w:val="20"/>
          </w:rPr>
          <w:t>-</w:t>
        </w:r>
        <w:r w:rsidRPr="004E142D">
          <w:rPr>
            <w:rStyle w:val="Hyperlink"/>
            <w:rFonts w:ascii="Arial" w:hAnsi="Arial" w:cs="Arial"/>
            <w:sz w:val="20"/>
            <w:szCs w:val="20"/>
          </w:rPr>
          <w:t xml:space="preserve"> </w:t>
        </w:r>
        <w:r w:rsidR="00791D74">
          <w:rPr>
            <w:rStyle w:val="Hyperlink"/>
            <w:rFonts w:ascii="Arial" w:hAnsi="Arial" w:cs="Arial"/>
            <w:sz w:val="20"/>
            <w:szCs w:val="20"/>
          </w:rPr>
          <w:t xml:space="preserve">Segunda </w:t>
        </w:r>
        <w:r w:rsidRPr="004E142D">
          <w:rPr>
            <w:rStyle w:val="Hyperlink"/>
            <w:rFonts w:ascii="Arial" w:hAnsi="Arial" w:cs="Arial"/>
            <w:sz w:val="20"/>
            <w:szCs w:val="20"/>
          </w:rPr>
          <w:t>Câmara</w:t>
        </w:r>
      </w:hyperlink>
      <w:r>
        <w:rPr>
          <w:rFonts w:ascii="Arial" w:hAnsi="Arial" w:cs="Arial"/>
          <w:sz w:val="20"/>
          <w:szCs w:val="20"/>
        </w:rPr>
        <w:t xml:space="preserve"> </w:t>
      </w:r>
      <w:r w:rsidR="00791D74">
        <w:rPr>
          <w:rFonts w:ascii="Arial" w:hAnsi="Arial" w:cs="Arial"/>
          <w:sz w:val="20"/>
          <w:szCs w:val="20"/>
        </w:rPr>
        <w:t>-</w:t>
      </w:r>
      <w:r>
        <w:rPr>
          <w:rFonts w:ascii="Arial" w:hAnsi="Arial" w:cs="Arial"/>
          <w:sz w:val="20"/>
          <w:szCs w:val="20"/>
        </w:rPr>
        <w:t xml:space="preserve"> Rel. Conselheiro Ivan </w:t>
      </w:r>
      <w:proofErr w:type="spellStart"/>
      <w:r>
        <w:rPr>
          <w:rFonts w:ascii="Arial" w:hAnsi="Arial" w:cs="Arial"/>
          <w:sz w:val="20"/>
          <w:szCs w:val="20"/>
        </w:rPr>
        <w:t>Lelis</w:t>
      </w:r>
      <w:proofErr w:type="spellEnd"/>
      <w:r>
        <w:rPr>
          <w:rFonts w:ascii="Arial" w:hAnsi="Arial" w:cs="Arial"/>
          <w:sz w:val="20"/>
          <w:szCs w:val="20"/>
        </w:rPr>
        <w:t xml:space="preserve"> Bonilha. </w:t>
      </w:r>
    </w:p>
    <w:p w:rsidR="00791D74" w:rsidRDefault="00791D74" w:rsidP="001529D8">
      <w:pPr>
        <w:autoSpaceDE w:val="0"/>
        <w:autoSpaceDN w:val="0"/>
        <w:adjustRightInd w:val="0"/>
        <w:spacing w:after="0"/>
        <w:jc w:val="both"/>
        <w:rPr>
          <w:rFonts w:ascii="Arial" w:hAnsi="Arial" w:cs="Arial"/>
          <w:b/>
          <w:sz w:val="20"/>
          <w:szCs w:val="20"/>
        </w:rPr>
      </w:pPr>
    </w:p>
    <w:p w:rsidR="00746A92" w:rsidRDefault="00AF3C46" w:rsidP="00AF3C46">
      <w:pPr>
        <w:spacing w:after="0"/>
        <w:jc w:val="both"/>
        <w:rPr>
          <w:rFonts w:ascii="Arial" w:hAnsi="Arial" w:cs="Arial"/>
          <w:b/>
          <w:sz w:val="20"/>
          <w:szCs w:val="20"/>
        </w:rPr>
      </w:pPr>
      <w:r>
        <w:rPr>
          <w:rFonts w:ascii="Arial" w:hAnsi="Arial" w:cs="Arial"/>
          <w:b/>
          <w:sz w:val="20"/>
          <w:szCs w:val="20"/>
        </w:rPr>
        <w:t xml:space="preserve">5. </w:t>
      </w:r>
      <w:r w:rsidR="00746A92">
        <w:rPr>
          <w:rFonts w:ascii="Arial" w:hAnsi="Arial" w:cs="Arial"/>
          <w:b/>
          <w:sz w:val="20"/>
          <w:szCs w:val="20"/>
        </w:rPr>
        <w:t>T</w:t>
      </w:r>
      <w:r w:rsidR="00746A92" w:rsidRPr="00AC13F8">
        <w:rPr>
          <w:rFonts w:ascii="Arial" w:hAnsi="Arial" w:cs="Arial"/>
          <w:b/>
          <w:sz w:val="20"/>
          <w:szCs w:val="20"/>
        </w:rPr>
        <w:t xml:space="preserve">ransferência </w:t>
      </w:r>
      <w:r w:rsidR="00746A92">
        <w:rPr>
          <w:rFonts w:ascii="Arial" w:hAnsi="Arial" w:cs="Arial"/>
          <w:b/>
          <w:sz w:val="20"/>
          <w:szCs w:val="20"/>
        </w:rPr>
        <w:t>V</w:t>
      </w:r>
      <w:r w:rsidR="00746A92" w:rsidRPr="00AC13F8">
        <w:rPr>
          <w:rFonts w:ascii="Arial" w:hAnsi="Arial" w:cs="Arial"/>
          <w:b/>
          <w:sz w:val="20"/>
          <w:szCs w:val="20"/>
        </w:rPr>
        <w:t xml:space="preserve">oluntária. </w:t>
      </w:r>
      <w:r w:rsidR="005A5AF2">
        <w:rPr>
          <w:rFonts w:ascii="Arial" w:hAnsi="Arial" w:cs="Arial"/>
          <w:b/>
          <w:sz w:val="20"/>
          <w:szCs w:val="20"/>
        </w:rPr>
        <w:t xml:space="preserve">Incongruências Formais. </w:t>
      </w:r>
      <w:r w:rsidR="00500939">
        <w:rPr>
          <w:rFonts w:ascii="Arial" w:hAnsi="Arial" w:cs="Arial"/>
          <w:b/>
          <w:sz w:val="20"/>
          <w:szCs w:val="20"/>
        </w:rPr>
        <w:t xml:space="preserve">Ausência de Dano e Prejuízos ao Objeto pactuado. </w:t>
      </w:r>
      <w:r w:rsidR="00746A92" w:rsidRPr="00AC13F8">
        <w:rPr>
          <w:rFonts w:ascii="Arial" w:hAnsi="Arial" w:cs="Arial"/>
          <w:b/>
          <w:sz w:val="20"/>
          <w:szCs w:val="20"/>
        </w:rPr>
        <w:t xml:space="preserve">Regularidade. </w:t>
      </w:r>
      <w:r w:rsidR="00500939">
        <w:rPr>
          <w:rFonts w:ascii="Arial" w:hAnsi="Arial" w:cs="Arial"/>
          <w:b/>
          <w:sz w:val="20"/>
          <w:szCs w:val="20"/>
        </w:rPr>
        <w:t xml:space="preserve">Expedição de </w:t>
      </w:r>
      <w:r w:rsidR="00746A92" w:rsidRPr="00AC13F8">
        <w:rPr>
          <w:rFonts w:ascii="Arial" w:hAnsi="Arial" w:cs="Arial"/>
          <w:b/>
          <w:sz w:val="20"/>
          <w:szCs w:val="20"/>
        </w:rPr>
        <w:t xml:space="preserve">Recomendação. </w:t>
      </w:r>
    </w:p>
    <w:p w:rsidR="00AF3C46" w:rsidRPr="00AC13F8" w:rsidRDefault="00AF3C46" w:rsidP="00AF3C46">
      <w:pPr>
        <w:spacing w:after="0"/>
        <w:jc w:val="both"/>
        <w:rPr>
          <w:rFonts w:ascii="Arial" w:hAnsi="Arial" w:cs="Arial"/>
          <w:b/>
          <w:sz w:val="20"/>
          <w:szCs w:val="20"/>
        </w:rPr>
      </w:pPr>
    </w:p>
    <w:p w:rsidR="00746A92" w:rsidRDefault="00746A92" w:rsidP="00AF3C46">
      <w:pPr>
        <w:spacing w:after="0"/>
        <w:jc w:val="both"/>
        <w:rPr>
          <w:rFonts w:ascii="Arial" w:hAnsi="Arial" w:cs="Arial"/>
          <w:sz w:val="20"/>
          <w:szCs w:val="20"/>
        </w:rPr>
      </w:pPr>
      <w:r>
        <w:rPr>
          <w:rFonts w:ascii="Arial" w:hAnsi="Arial" w:cs="Arial"/>
          <w:sz w:val="20"/>
          <w:szCs w:val="20"/>
        </w:rPr>
        <w:t xml:space="preserve">A prestação de contas de transferência voluntária efetuada por meio do Sistema Integrado de Transferências </w:t>
      </w:r>
      <w:r w:rsidR="005A5AF2">
        <w:rPr>
          <w:rFonts w:ascii="Arial" w:hAnsi="Arial" w:cs="Arial"/>
          <w:sz w:val="20"/>
          <w:szCs w:val="20"/>
        </w:rPr>
        <w:t>-</w:t>
      </w:r>
      <w:r>
        <w:rPr>
          <w:rFonts w:ascii="Arial" w:hAnsi="Arial" w:cs="Arial"/>
          <w:sz w:val="20"/>
          <w:szCs w:val="20"/>
        </w:rPr>
        <w:t xml:space="preserve"> SIT</w:t>
      </w:r>
      <w:proofErr w:type="gramStart"/>
      <w:r>
        <w:rPr>
          <w:rFonts w:ascii="Arial" w:hAnsi="Arial" w:cs="Arial"/>
          <w:sz w:val="20"/>
          <w:szCs w:val="20"/>
        </w:rPr>
        <w:t>, apresentou</w:t>
      </w:r>
      <w:proofErr w:type="gramEnd"/>
      <w:r>
        <w:rPr>
          <w:rFonts w:ascii="Arial" w:hAnsi="Arial" w:cs="Arial"/>
          <w:sz w:val="20"/>
          <w:szCs w:val="20"/>
        </w:rPr>
        <w:t xml:space="preserve"> incongruências consubstanciadas em: i) atraso de 8 dias na prestação de contas; </w:t>
      </w:r>
      <w:proofErr w:type="spellStart"/>
      <w:r>
        <w:rPr>
          <w:rFonts w:ascii="Arial" w:hAnsi="Arial" w:cs="Arial"/>
          <w:sz w:val="20"/>
          <w:szCs w:val="20"/>
        </w:rPr>
        <w:t>ii</w:t>
      </w:r>
      <w:proofErr w:type="spellEnd"/>
      <w:r>
        <w:rPr>
          <w:rFonts w:ascii="Arial" w:hAnsi="Arial" w:cs="Arial"/>
          <w:sz w:val="20"/>
          <w:szCs w:val="20"/>
        </w:rPr>
        <w:t xml:space="preserve">) atraso de 2 dias no fechamento do 6º bimestre de 2012 pelo concedente; </w:t>
      </w:r>
      <w:proofErr w:type="spellStart"/>
      <w:r>
        <w:rPr>
          <w:rFonts w:ascii="Arial" w:hAnsi="Arial" w:cs="Arial"/>
          <w:sz w:val="20"/>
          <w:szCs w:val="20"/>
        </w:rPr>
        <w:t>iii</w:t>
      </w:r>
      <w:proofErr w:type="spellEnd"/>
      <w:r>
        <w:rPr>
          <w:rFonts w:ascii="Arial" w:hAnsi="Arial" w:cs="Arial"/>
          <w:sz w:val="20"/>
          <w:szCs w:val="20"/>
        </w:rPr>
        <w:t xml:space="preserve">) ausência de certidões durante a execução do convênio (CND do INSS, certificado de regularidade do FGTS, certidão de débitos tributários e de dívida ativa estadual, certidão de débitos relativos a créditos tributários federais e dívida ativa da União, CND trabalhista; </w:t>
      </w:r>
      <w:proofErr w:type="spellStart"/>
      <w:r>
        <w:rPr>
          <w:rFonts w:ascii="Arial" w:hAnsi="Arial" w:cs="Arial"/>
          <w:sz w:val="20"/>
          <w:szCs w:val="20"/>
        </w:rPr>
        <w:t>iv</w:t>
      </w:r>
      <w:proofErr w:type="spellEnd"/>
      <w:r>
        <w:rPr>
          <w:rFonts w:ascii="Arial" w:hAnsi="Arial" w:cs="Arial"/>
          <w:sz w:val="20"/>
          <w:szCs w:val="20"/>
        </w:rPr>
        <w:t>) ofensa ao artigo 25, § 1º, inciso IV, alínea ‘a’, da Lei Complementar nº101/2000 e art. 55, XIII da Lei Federal nº 8.666/93 e art. 3º da IN 61/2011.</w:t>
      </w:r>
    </w:p>
    <w:p w:rsidR="00AF3C46" w:rsidRDefault="00AF3C46" w:rsidP="00AF3C46">
      <w:pPr>
        <w:spacing w:after="0"/>
        <w:jc w:val="both"/>
        <w:rPr>
          <w:rFonts w:ascii="Arial" w:hAnsi="Arial" w:cs="Arial"/>
          <w:sz w:val="20"/>
          <w:szCs w:val="20"/>
        </w:rPr>
      </w:pPr>
    </w:p>
    <w:p w:rsidR="00746A92" w:rsidRDefault="00746A92" w:rsidP="00AF3C46">
      <w:pPr>
        <w:spacing w:after="0"/>
        <w:jc w:val="both"/>
        <w:rPr>
          <w:rFonts w:ascii="Arial" w:hAnsi="Arial" w:cs="Arial"/>
          <w:sz w:val="20"/>
          <w:szCs w:val="20"/>
        </w:rPr>
      </w:pPr>
      <w:r>
        <w:rPr>
          <w:rFonts w:ascii="Arial" w:hAnsi="Arial" w:cs="Arial"/>
          <w:sz w:val="20"/>
          <w:szCs w:val="20"/>
        </w:rPr>
        <w:t xml:space="preserve">Tais incongruências dão causa à recomendação à entidade, e não à ressalva, conforme entendimento sedimentado neste Tribunal, nos casos em que não haja dano ao erário, que o objeto pactuado tenha sido corretamente executado, que os valores gastos estejam relacionados a ele e a finalidade pública proposta tenha sido cumprida. </w:t>
      </w:r>
    </w:p>
    <w:p w:rsidR="00AF3C46" w:rsidRDefault="00AF3C46" w:rsidP="00AF3C46">
      <w:pPr>
        <w:spacing w:after="0"/>
        <w:jc w:val="both"/>
        <w:rPr>
          <w:rFonts w:ascii="Arial" w:hAnsi="Arial" w:cs="Arial"/>
          <w:sz w:val="20"/>
          <w:szCs w:val="20"/>
        </w:rPr>
      </w:pPr>
    </w:p>
    <w:p w:rsidR="00746A92" w:rsidRDefault="00746A92" w:rsidP="00AF3C46">
      <w:pPr>
        <w:spacing w:after="0"/>
        <w:jc w:val="both"/>
        <w:rPr>
          <w:rFonts w:ascii="Arial" w:hAnsi="Arial" w:cs="Arial"/>
          <w:sz w:val="20"/>
          <w:szCs w:val="20"/>
        </w:rPr>
      </w:pPr>
      <w:r>
        <w:rPr>
          <w:rFonts w:ascii="Arial" w:hAnsi="Arial" w:cs="Arial"/>
          <w:sz w:val="20"/>
          <w:szCs w:val="20"/>
        </w:rPr>
        <w:t xml:space="preserve">Contudo, a recomendação emitida em casos tais, passará, a partir do exercício financeiro de 2014, a ser considerada ressalva passível de sansão pecuniária, conforme letra do art. 87 da Lei Complementar Estadual nº 113/2005. </w:t>
      </w:r>
    </w:p>
    <w:p w:rsidR="00AF3C46" w:rsidRDefault="00AF3C46" w:rsidP="00AF3C46">
      <w:pPr>
        <w:spacing w:after="0"/>
        <w:jc w:val="both"/>
        <w:rPr>
          <w:rFonts w:ascii="Arial" w:hAnsi="Arial" w:cs="Arial"/>
          <w:sz w:val="20"/>
          <w:szCs w:val="20"/>
        </w:rPr>
      </w:pPr>
    </w:p>
    <w:p w:rsidR="00746A92" w:rsidRDefault="00746A92" w:rsidP="00AF3C46">
      <w:pPr>
        <w:spacing w:after="0"/>
        <w:jc w:val="both"/>
        <w:rPr>
          <w:rFonts w:ascii="Arial" w:hAnsi="Arial" w:cs="Arial"/>
          <w:sz w:val="20"/>
          <w:szCs w:val="20"/>
        </w:rPr>
      </w:pPr>
      <w:r>
        <w:rPr>
          <w:rFonts w:ascii="Arial" w:hAnsi="Arial" w:cs="Arial"/>
          <w:sz w:val="20"/>
          <w:szCs w:val="20"/>
        </w:rPr>
        <w:t xml:space="preserve">Processo nº 124463/13 </w:t>
      </w:r>
      <w:r w:rsidR="005A5AF2">
        <w:rPr>
          <w:rFonts w:ascii="Arial" w:hAnsi="Arial" w:cs="Arial"/>
          <w:sz w:val="20"/>
          <w:szCs w:val="20"/>
        </w:rPr>
        <w:t>-</w:t>
      </w:r>
      <w:r>
        <w:rPr>
          <w:rFonts w:ascii="Arial" w:hAnsi="Arial" w:cs="Arial"/>
          <w:sz w:val="20"/>
          <w:szCs w:val="20"/>
        </w:rPr>
        <w:t xml:space="preserve"> </w:t>
      </w:r>
      <w:hyperlink r:id="rId13" w:history="1">
        <w:r w:rsidRPr="004E142D">
          <w:rPr>
            <w:rStyle w:val="Hyperlink"/>
            <w:rFonts w:ascii="Arial" w:hAnsi="Arial" w:cs="Arial"/>
            <w:sz w:val="20"/>
            <w:szCs w:val="20"/>
          </w:rPr>
          <w:t>Acórdão nº 1033/17-</w:t>
        </w:r>
        <w:r w:rsidR="005A5AF2">
          <w:rPr>
            <w:rStyle w:val="Hyperlink"/>
            <w:rFonts w:ascii="Arial" w:hAnsi="Arial" w:cs="Arial"/>
            <w:sz w:val="20"/>
            <w:szCs w:val="20"/>
          </w:rPr>
          <w:t xml:space="preserve"> Segunda </w:t>
        </w:r>
        <w:r w:rsidRPr="004E142D">
          <w:rPr>
            <w:rStyle w:val="Hyperlink"/>
            <w:rFonts w:ascii="Arial" w:hAnsi="Arial" w:cs="Arial"/>
            <w:sz w:val="20"/>
            <w:szCs w:val="20"/>
          </w:rPr>
          <w:t>Câmara</w:t>
        </w:r>
      </w:hyperlink>
      <w:r>
        <w:rPr>
          <w:rFonts w:ascii="Arial" w:hAnsi="Arial" w:cs="Arial"/>
          <w:sz w:val="20"/>
          <w:szCs w:val="20"/>
        </w:rPr>
        <w:t xml:space="preserve"> </w:t>
      </w:r>
      <w:r w:rsidR="005A5AF2">
        <w:rPr>
          <w:rFonts w:ascii="Arial" w:hAnsi="Arial" w:cs="Arial"/>
          <w:sz w:val="20"/>
          <w:szCs w:val="20"/>
        </w:rPr>
        <w:t>-</w:t>
      </w:r>
      <w:r>
        <w:rPr>
          <w:rFonts w:ascii="Arial" w:hAnsi="Arial" w:cs="Arial"/>
          <w:sz w:val="20"/>
          <w:szCs w:val="20"/>
        </w:rPr>
        <w:t xml:space="preserve"> Rel. Conselheiro </w:t>
      </w:r>
      <w:proofErr w:type="spellStart"/>
      <w:r>
        <w:rPr>
          <w:rFonts w:ascii="Arial" w:hAnsi="Arial" w:cs="Arial"/>
          <w:sz w:val="20"/>
          <w:szCs w:val="20"/>
        </w:rPr>
        <w:t>Artagão</w:t>
      </w:r>
      <w:proofErr w:type="spellEnd"/>
      <w:r>
        <w:rPr>
          <w:rFonts w:ascii="Arial" w:hAnsi="Arial" w:cs="Arial"/>
          <w:sz w:val="20"/>
          <w:szCs w:val="20"/>
        </w:rPr>
        <w:t xml:space="preserve"> de Mattos Leão.</w:t>
      </w:r>
    </w:p>
    <w:p w:rsidR="00746A92" w:rsidRDefault="00746A92" w:rsidP="001529D8">
      <w:pPr>
        <w:autoSpaceDE w:val="0"/>
        <w:autoSpaceDN w:val="0"/>
        <w:adjustRightInd w:val="0"/>
        <w:spacing w:after="0"/>
        <w:jc w:val="both"/>
        <w:rPr>
          <w:rFonts w:ascii="Arial" w:hAnsi="Arial" w:cs="Arial"/>
          <w:b/>
          <w:sz w:val="20"/>
          <w:szCs w:val="20"/>
        </w:rPr>
      </w:pPr>
    </w:p>
    <w:p w:rsidR="001529D8" w:rsidRDefault="00E67390" w:rsidP="001529D8">
      <w:pPr>
        <w:autoSpaceDE w:val="0"/>
        <w:autoSpaceDN w:val="0"/>
        <w:adjustRightInd w:val="0"/>
        <w:spacing w:after="0"/>
        <w:jc w:val="both"/>
        <w:rPr>
          <w:rFonts w:ascii="Arial" w:hAnsi="Arial" w:cs="Arial"/>
          <w:b/>
          <w:sz w:val="20"/>
          <w:szCs w:val="20"/>
        </w:rPr>
      </w:pPr>
      <w:r>
        <w:rPr>
          <w:rFonts w:ascii="Arial" w:hAnsi="Arial" w:cs="Arial"/>
          <w:b/>
          <w:sz w:val="20"/>
          <w:szCs w:val="20"/>
        </w:rPr>
        <w:t xml:space="preserve">6. </w:t>
      </w:r>
      <w:r w:rsidR="001529D8" w:rsidRPr="005E2D13">
        <w:rPr>
          <w:rFonts w:ascii="Arial" w:hAnsi="Arial" w:cs="Arial"/>
          <w:b/>
          <w:sz w:val="20"/>
          <w:szCs w:val="20"/>
        </w:rPr>
        <w:t>Tomada de Contas Extraordinária. Renúncia de receita</w:t>
      </w:r>
      <w:r w:rsidR="004D58CD" w:rsidRPr="005E2D13">
        <w:rPr>
          <w:rFonts w:ascii="Arial" w:hAnsi="Arial" w:cs="Arial"/>
          <w:b/>
          <w:sz w:val="20"/>
          <w:szCs w:val="20"/>
        </w:rPr>
        <w:t xml:space="preserve"> configurada pela concessão de uso gratuito de espaços publicitários no Estádio Olímpico Regional. </w:t>
      </w:r>
      <w:r w:rsidR="001529D8" w:rsidRPr="005E2D13">
        <w:rPr>
          <w:rFonts w:ascii="Arial" w:hAnsi="Arial" w:cs="Arial"/>
          <w:b/>
          <w:sz w:val="20"/>
          <w:szCs w:val="20"/>
        </w:rPr>
        <w:t>Irregularidade com aplicação de multas</w:t>
      </w:r>
      <w:r w:rsidR="005E2D13" w:rsidRPr="005E2D13">
        <w:rPr>
          <w:rFonts w:ascii="Arial" w:hAnsi="Arial" w:cs="Arial"/>
          <w:b/>
          <w:sz w:val="20"/>
          <w:szCs w:val="20"/>
        </w:rPr>
        <w:t>.</w:t>
      </w:r>
      <w:r w:rsidR="001529D8" w:rsidRPr="005E2D13">
        <w:rPr>
          <w:rFonts w:ascii="Arial" w:hAnsi="Arial" w:cs="Arial"/>
          <w:b/>
          <w:sz w:val="20"/>
          <w:szCs w:val="20"/>
        </w:rPr>
        <w:t xml:space="preserve"> </w:t>
      </w:r>
    </w:p>
    <w:p w:rsidR="005E2D13" w:rsidRDefault="005E2D13" w:rsidP="001529D8">
      <w:pPr>
        <w:autoSpaceDE w:val="0"/>
        <w:autoSpaceDN w:val="0"/>
        <w:adjustRightInd w:val="0"/>
        <w:spacing w:after="0"/>
        <w:jc w:val="both"/>
        <w:rPr>
          <w:rFonts w:ascii="Arial" w:hAnsi="Arial" w:cs="Arial"/>
          <w:b/>
          <w:sz w:val="20"/>
          <w:szCs w:val="20"/>
        </w:rPr>
      </w:pPr>
    </w:p>
    <w:p w:rsidR="005E2D13" w:rsidRPr="00365F51" w:rsidRDefault="000B47C0" w:rsidP="00365F51">
      <w:pPr>
        <w:autoSpaceDE w:val="0"/>
        <w:autoSpaceDN w:val="0"/>
        <w:adjustRightInd w:val="0"/>
        <w:spacing w:after="0"/>
        <w:jc w:val="both"/>
        <w:rPr>
          <w:rFonts w:ascii="Arial" w:hAnsi="Arial" w:cs="Arial"/>
          <w:b/>
          <w:sz w:val="20"/>
          <w:szCs w:val="20"/>
        </w:rPr>
      </w:pPr>
      <w:r w:rsidRPr="00365F51">
        <w:rPr>
          <w:rFonts w:ascii="Arial" w:hAnsi="Arial" w:cs="Arial"/>
          <w:sz w:val="20"/>
          <w:szCs w:val="20"/>
        </w:rPr>
        <w:t xml:space="preserve">A exploração do espaço público por particulares depende de procedimentos específicos de Direito </w:t>
      </w:r>
      <w:proofErr w:type="gramStart"/>
      <w:r w:rsidRPr="00365F51">
        <w:rPr>
          <w:rFonts w:ascii="Arial" w:hAnsi="Arial" w:cs="Arial"/>
          <w:sz w:val="20"/>
          <w:szCs w:val="20"/>
        </w:rPr>
        <w:t>Administrativo (permissão, concessão, autorização), em especial, precedidos</w:t>
      </w:r>
      <w:proofErr w:type="gramEnd"/>
      <w:r w:rsidRPr="00365F51">
        <w:rPr>
          <w:rFonts w:ascii="Arial" w:hAnsi="Arial" w:cs="Arial"/>
          <w:sz w:val="20"/>
          <w:szCs w:val="20"/>
        </w:rPr>
        <w:t xml:space="preserve"> de </w:t>
      </w:r>
      <w:r w:rsidRPr="00365F51">
        <w:rPr>
          <w:rFonts w:ascii="Arial" w:hAnsi="Arial" w:cs="Arial"/>
          <w:sz w:val="20"/>
          <w:szCs w:val="20"/>
        </w:rPr>
        <w:lastRenderedPageBreak/>
        <w:t>procedimento licitatório, em observância da impessoalidade, o que não se evidenciou nos presentes autos. De fato, em cumprimento ao artigo 175 da Constituição da República, à Lei Federal n</w:t>
      </w:r>
      <w:r w:rsidR="00046E21">
        <w:rPr>
          <w:rFonts w:ascii="Arial" w:hAnsi="Arial" w:cs="Arial"/>
          <w:sz w:val="20"/>
          <w:szCs w:val="20"/>
        </w:rPr>
        <w:t>°</w:t>
      </w:r>
      <w:r w:rsidRPr="00365F51">
        <w:rPr>
          <w:rFonts w:ascii="Arial" w:hAnsi="Arial" w:cs="Arial"/>
          <w:sz w:val="20"/>
          <w:szCs w:val="20"/>
        </w:rPr>
        <w:t xml:space="preserve"> 8.987/1995 e ao artigo 2º da Lei Federal n</w:t>
      </w:r>
      <w:r w:rsidR="00046E21">
        <w:rPr>
          <w:rFonts w:ascii="Arial" w:hAnsi="Arial" w:cs="Arial"/>
          <w:sz w:val="20"/>
          <w:szCs w:val="20"/>
        </w:rPr>
        <w:t>°</w:t>
      </w:r>
      <w:r w:rsidRPr="00365F51">
        <w:rPr>
          <w:rFonts w:ascii="Arial" w:hAnsi="Arial" w:cs="Arial"/>
          <w:sz w:val="20"/>
          <w:szCs w:val="20"/>
        </w:rPr>
        <w:t xml:space="preserve"> 8.666/93, a utilização do espaço público por particulares somente pode se dar por meio de concessão, permissão ou autorização por parte do Poder Público. Ressalte-se, em face da necessária isonomia, a licitação é instituto obrigatório para selecionar a proposta mais vantajosa ao interesse público.</w:t>
      </w:r>
    </w:p>
    <w:p w:rsidR="005E2D13" w:rsidRPr="00365F51" w:rsidRDefault="005E2D13" w:rsidP="00365F51">
      <w:pPr>
        <w:autoSpaceDE w:val="0"/>
        <w:autoSpaceDN w:val="0"/>
        <w:adjustRightInd w:val="0"/>
        <w:spacing w:after="0"/>
        <w:jc w:val="both"/>
        <w:rPr>
          <w:rFonts w:ascii="Arial" w:hAnsi="Arial" w:cs="Arial"/>
          <w:b/>
          <w:sz w:val="20"/>
          <w:szCs w:val="20"/>
        </w:rPr>
      </w:pPr>
    </w:p>
    <w:p w:rsidR="001529D8" w:rsidRDefault="00365F51" w:rsidP="00365F51">
      <w:pPr>
        <w:autoSpaceDE w:val="0"/>
        <w:autoSpaceDN w:val="0"/>
        <w:adjustRightInd w:val="0"/>
        <w:spacing w:after="0"/>
        <w:jc w:val="both"/>
        <w:rPr>
          <w:rFonts w:ascii="Arial" w:hAnsi="Arial" w:cs="Arial"/>
          <w:sz w:val="20"/>
          <w:szCs w:val="20"/>
        </w:rPr>
      </w:pPr>
      <w:r w:rsidRPr="00365F51">
        <w:rPr>
          <w:rFonts w:ascii="Arial" w:hAnsi="Arial" w:cs="Arial"/>
          <w:sz w:val="20"/>
          <w:szCs w:val="20"/>
        </w:rPr>
        <w:t>A ausência de processo licitatório prévio à concessão ou permissão de uso do espaço público para veiculação de anúncios publicitários desrespeita a Lei Federal n</w:t>
      </w:r>
      <w:r w:rsidR="00046E21">
        <w:rPr>
          <w:rFonts w:ascii="Arial" w:hAnsi="Arial" w:cs="Arial"/>
          <w:sz w:val="20"/>
          <w:szCs w:val="20"/>
        </w:rPr>
        <w:t>°</w:t>
      </w:r>
      <w:r w:rsidRPr="00365F51">
        <w:rPr>
          <w:rFonts w:ascii="Arial" w:hAnsi="Arial" w:cs="Arial"/>
          <w:sz w:val="20"/>
          <w:szCs w:val="20"/>
        </w:rPr>
        <w:t xml:space="preserve"> 8.666/93. Portanto, remanesce a responsabilização dos gestores pela presente falha. Assim, em face da inobservância ao disposto no artigo 175 da Constituição da República, aos artigos 14 e 40 da Lei Federal n</w:t>
      </w:r>
      <w:r w:rsidR="00046E21">
        <w:rPr>
          <w:rFonts w:ascii="Arial" w:hAnsi="Arial" w:cs="Arial"/>
          <w:sz w:val="20"/>
          <w:szCs w:val="20"/>
        </w:rPr>
        <w:t>°</w:t>
      </w:r>
      <w:r w:rsidRPr="00365F51">
        <w:rPr>
          <w:rFonts w:ascii="Arial" w:hAnsi="Arial" w:cs="Arial"/>
          <w:sz w:val="20"/>
          <w:szCs w:val="20"/>
        </w:rPr>
        <w:t xml:space="preserve"> 8.987/1995 e no artigo 2º da Lei Federal n</w:t>
      </w:r>
      <w:r w:rsidR="00046E21">
        <w:rPr>
          <w:rFonts w:ascii="Arial" w:hAnsi="Arial" w:cs="Arial"/>
          <w:sz w:val="20"/>
          <w:szCs w:val="20"/>
        </w:rPr>
        <w:t>°</w:t>
      </w:r>
      <w:r w:rsidRPr="00365F51">
        <w:rPr>
          <w:rFonts w:ascii="Arial" w:hAnsi="Arial" w:cs="Arial"/>
          <w:sz w:val="20"/>
          <w:szCs w:val="20"/>
        </w:rPr>
        <w:t xml:space="preserve"> 8.666/93, entendo cabível a aplicação da multa prevista no art. 87, inciso IV, alínea “g” da Lei Complementar n</w:t>
      </w:r>
      <w:r w:rsidR="00046E21">
        <w:rPr>
          <w:rFonts w:ascii="Arial" w:hAnsi="Arial" w:cs="Arial"/>
          <w:sz w:val="20"/>
          <w:szCs w:val="20"/>
        </w:rPr>
        <w:t>°</w:t>
      </w:r>
      <w:r w:rsidRPr="00365F51">
        <w:rPr>
          <w:rFonts w:ascii="Arial" w:hAnsi="Arial" w:cs="Arial"/>
          <w:sz w:val="20"/>
          <w:szCs w:val="20"/>
        </w:rPr>
        <w:t xml:space="preserve"> 113/2005.</w:t>
      </w:r>
    </w:p>
    <w:p w:rsidR="000747BF" w:rsidRDefault="000747BF" w:rsidP="00365F51">
      <w:pPr>
        <w:autoSpaceDE w:val="0"/>
        <w:autoSpaceDN w:val="0"/>
        <w:adjustRightInd w:val="0"/>
        <w:spacing w:after="0"/>
        <w:jc w:val="both"/>
        <w:rPr>
          <w:rFonts w:ascii="Arial" w:hAnsi="Arial" w:cs="Arial"/>
          <w:sz w:val="20"/>
          <w:szCs w:val="20"/>
        </w:rPr>
      </w:pPr>
    </w:p>
    <w:p w:rsidR="000747BF" w:rsidRDefault="000747BF" w:rsidP="000747BF">
      <w:pPr>
        <w:spacing w:after="0"/>
        <w:jc w:val="both"/>
        <w:rPr>
          <w:rFonts w:ascii="Arial" w:hAnsi="Arial" w:cs="Arial"/>
          <w:sz w:val="20"/>
          <w:szCs w:val="20"/>
        </w:rPr>
      </w:pPr>
      <w:r>
        <w:rPr>
          <w:rFonts w:ascii="Arial" w:hAnsi="Arial" w:cs="Arial"/>
          <w:sz w:val="20"/>
          <w:szCs w:val="20"/>
        </w:rPr>
        <w:t xml:space="preserve">Processo n° 329284/07 - </w:t>
      </w:r>
      <w:hyperlink r:id="rId14" w:history="1">
        <w:r w:rsidRPr="00F17988">
          <w:rPr>
            <w:rStyle w:val="Hyperlink"/>
            <w:rFonts w:ascii="Arial" w:hAnsi="Arial" w:cs="Arial"/>
            <w:sz w:val="20"/>
            <w:szCs w:val="20"/>
          </w:rPr>
          <w:t xml:space="preserve">Acórdão n° 1209/17 </w:t>
        </w:r>
        <w:r w:rsidR="00650E4E" w:rsidRPr="00F17988">
          <w:rPr>
            <w:rStyle w:val="Hyperlink"/>
            <w:rFonts w:ascii="Arial" w:hAnsi="Arial" w:cs="Arial"/>
            <w:sz w:val="20"/>
            <w:szCs w:val="20"/>
          </w:rPr>
          <w:t>-</w:t>
        </w:r>
        <w:r w:rsidRPr="00F17988">
          <w:rPr>
            <w:rStyle w:val="Hyperlink"/>
            <w:rFonts w:ascii="Arial" w:hAnsi="Arial" w:cs="Arial"/>
            <w:sz w:val="20"/>
            <w:szCs w:val="20"/>
          </w:rPr>
          <w:t xml:space="preserve"> </w:t>
        </w:r>
        <w:r w:rsidR="00650E4E" w:rsidRPr="00F17988">
          <w:rPr>
            <w:rStyle w:val="Hyperlink"/>
            <w:rFonts w:ascii="Arial" w:hAnsi="Arial" w:cs="Arial"/>
            <w:sz w:val="20"/>
            <w:szCs w:val="20"/>
          </w:rPr>
          <w:t>Segunda Câmara</w:t>
        </w:r>
      </w:hyperlink>
      <w:r w:rsidR="00650E4E">
        <w:rPr>
          <w:rFonts w:ascii="Arial" w:hAnsi="Arial" w:cs="Arial"/>
          <w:sz w:val="20"/>
          <w:szCs w:val="20"/>
        </w:rPr>
        <w:t xml:space="preserve"> </w:t>
      </w:r>
      <w:r>
        <w:rPr>
          <w:rFonts w:ascii="Arial" w:hAnsi="Arial" w:cs="Arial"/>
          <w:sz w:val="20"/>
          <w:szCs w:val="20"/>
        </w:rPr>
        <w:t xml:space="preserve">- Rel. Cons. Ivens Zschoerper Linhares.  </w:t>
      </w:r>
    </w:p>
    <w:p w:rsidR="00D03845" w:rsidRPr="00123D02" w:rsidRDefault="00D03845" w:rsidP="00A90BD3">
      <w:pPr>
        <w:autoSpaceDE w:val="0"/>
        <w:autoSpaceDN w:val="0"/>
        <w:adjustRightInd w:val="0"/>
        <w:spacing w:after="0" w:line="240" w:lineRule="auto"/>
        <w:jc w:val="both"/>
        <w:rPr>
          <w:rFonts w:ascii="Arial" w:hAnsi="Arial" w:cs="Arial"/>
          <w:sz w:val="20"/>
          <w:szCs w:val="20"/>
        </w:rPr>
      </w:pPr>
    </w:p>
    <w:p w:rsidR="00AE4F42" w:rsidRPr="00722924" w:rsidRDefault="00AE4F42" w:rsidP="00AE4F42">
      <w:pPr>
        <w:shd w:val="pct10" w:color="auto" w:fill="auto"/>
        <w:jc w:val="center"/>
        <w:rPr>
          <w:rFonts w:ascii="Arial" w:hAnsi="Arial" w:cs="Arial"/>
          <w:b/>
        </w:rPr>
      </w:pPr>
      <w:r>
        <w:rPr>
          <w:rFonts w:ascii="Arial" w:hAnsi="Arial" w:cs="Arial"/>
          <w:b/>
        </w:rPr>
        <w:t>TRIBUNAL PLENO</w:t>
      </w:r>
    </w:p>
    <w:p w:rsidR="00A53CDD" w:rsidRDefault="00E67390" w:rsidP="00455387">
      <w:pPr>
        <w:autoSpaceDE w:val="0"/>
        <w:autoSpaceDN w:val="0"/>
        <w:adjustRightInd w:val="0"/>
        <w:spacing w:after="0"/>
        <w:jc w:val="both"/>
        <w:rPr>
          <w:rFonts w:ascii="Arial" w:hAnsi="Arial" w:cs="Arial"/>
          <w:b/>
          <w:sz w:val="20"/>
          <w:szCs w:val="20"/>
        </w:rPr>
      </w:pPr>
      <w:r>
        <w:rPr>
          <w:rFonts w:ascii="Arial" w:hAnsi="Arial" w:cs="Arial"/>
          <w:b/>
          <w:sz w:val="20"/>
          <w:szCs w:val="20"/>
        </w:rPr>
        <w:t xml:space="preserve">7. </w:t>
      </w:r>
      <w:r w:rsidR="00A53CDD" w:rsidRPr="00A53CDD">
        <w:rPr>
          <w:rFonts w:ascii="Arial" w:hAnsi="Arial" w:cs="Arial"/>
          <w:b/>
          <w:sz w:val="20"/>
          <w:szCs w:val="20"/>
        </w:rPr>
        <w:t>Representação da Lei nº 8.666/93. Edital de Pregão Presencial contendo exigência de apresentação de amostras previamente à licitação. Medida cautelar para determinar a imediata suspensão do certame.</w:t>
      </w:r>
    </w:p>
    <w:p w:rsidR="003F0088" w:rsidRDefault="003F0088" w:rsidP="00455387">
      <w:pPr>
        <w:autoSpaceDE w:val="0"/>
        <w:autoSpaceDN w:val="0"/>
        <w:adjustRightInd w:val="0"/>
        <w:spacing w:after="0"/>
        <w:jc w:val="both"/>
        <w:rPr>
          <w:rFonts w:ascii="Arial" w:hAnsi="Arial" w:cs="Arial"/>
          <w:b/>
          <w:sz w:val="20"/>
          <w:szCs w:val="20"/>
        </w:rPr>
      </w:pPr>
    </w:p>
    <w:p w:rsidR="00D24867" w:rsidRDefault="003F0088" w:rsidP="00455387">
      <w:pPr>
        <w:autoSpaceDE w:val="0"/>
        <w:autoSpaceDN w:val="0"/>
        <w:adjustRightInd w:val="0"/>
        <w:spacing w:after="0"/>
        <w:jc w:val="both"/>
        <w:rPr>
          <w:rFonts w:ascii="Arial" w:hAnsi="Arial" w:cs="Arial"/>
          <w:sz w:val="20"/>
          <w:szCs w:val="20"/>
        </w:rPr>
      </w:pPr>
      <w:r w:rsidRPr="003F0088">
        <w:rPr>
          <w:rFonts w:ascii="Arial" w:hAnsi="Arial" w:cs="Arial"/>
          <w:sz w:val="20"/>
          <w:szCs w:val="20"/>
        </w:rPr>
        <w:t>A</w:t>
      </w:r>
      <w:r>
        <w:rPr>
          <w:rFonts w:ascii="Arial" w:hAnsi="Arial" w:cs="Arial"/>
          <w:sz w:val="20"/>
          <w:szCs w:val="20"/>
        </w:rPr>
        <w:t xml:space="preserve"> </w:t>
      </w:r>
      <w:r w:rsidRPr="003F0088">
        <w:rPr>
          <w:rFonts w:ascii="Arial" w:hAnsi="Arial" w:cs="Arial"/>
          <w:sz w:val="20"/>
          <w:szCs w:val="20"/>
        </w:rPr>
        <w:t xml:space="preserve">jurisprudência pátria é clara no sentido de que a exigência de amostras previamente à licitação onera desnecessariamente os licitantes e restringe indevidamente a competitividade, maculando o respectivo edital de nulidade, por ofensa aos </w:t>
      </w:r>
      <w:proofErr w:type="spellStart"/>
      <w:r w:rsidRPr="003F0088">
        <w:rPr>
          <w:rFonts w:ascii="Arial" w:hAnsi="Arial" w:cs="Arial"/>
          <w:sz w:val="20"/>
          <w:szCs w:val="20"/>
        </w:rPr>
        <w:t>arts</w:t>
      </w:r>
      <w:proofErr w:type="spellEnd"/>
      <w:r w:rsidRPr="003F0088">
        <w:rPr>
          <w:rFonts w:ascii="Arial" w:hAnsi="Arial" w:cs="Arial"/>
          <w:sz w:val="20"/>
          <w:szCs w:val="20"/>
        </w:rPr>
        <w:t>. 37, XXI, da Constituição Federal, e 3º, § 1º, I, da Lei Federal nº 8.666/93. A esse respeito, é firme o entendimento do Tribunal Pleno desta Corte de Contas, consolidado por unanimidade no Acórdão nº 4243/16, em sede de Prejulgado dotado de caráter normativo.</w:t>
      </w:r>
      <w:r w:rsidR="00D24867">
        <w:rPr>
          <w:rFonts w:ascii="Arial" w:hAnsi="Arial" w:cs="Arial"/>
          <w:sz w:val="20"/>
          <w:szCs w:val="20"/>
        </w:rPr>
        <w:t xml:space="preserve"> </w:t>
      </w:r>
    </w:p>
    <w:p w:rsidR="00D24867" w:rsidRDefault="00D24867" w:rsidP="00455387">
      <w:pPr>
        <w:autoSpaceDE w:val="0"/>
        <w:autoSpaceDN w:val="0"/>
        <w:adjustRightInd w:val="0"/>
        <w:spacing w:after="0"/>
        <w:jc w:val="both"/>
        <w:rPr>
          <w:rFonts w:ascii="Arial" w:hAnsi="Arial" w:cs="Arial"/>
          <w:sz w:val="20"/>
          <w:szCs w:val="20"/>
        </w:rPr>
      </w:pPr>
    </w:p>
    <w:p w:rsidR="003F0088" w:rsidRPr="003F0088" w:rsidRDefault="003F0088" w:rsidP="00455387">
      <w:pPr>
        <w:autoSpaceDE w:val="0"/>
        <w:autoSpaceDN w:val="0"/>
        <w:adjustRightInd w:val="0"/>
        <w:spacing w:after="0"/>
        <w:jc w:val="both"/>
        <w:rPr>
          <w:rFonts w:ascii="Arial" w:hAnsi="Arial" w:cs="Arial"/>
          <w:sz w:val="20"/>
          <w:szCs w:val="20"/>
        </w:rPr>
      </w:pPr>
      <w:r w:rsidRPr="003F0088">
        <w:rPr>
          <w:rFonts w:ascii="Arial" w:hAnsi="Arial" w:cs="Arial"/>
          <w:sz w:val="20"/>
          <w:szCs w:val="20"/>
        </w:rPr>
        <w:t xml:space="preserve">De igual forma, como consignado pelo ilustre Conselheiro Jose Durval Mattos do Amaral no voto que originou o Acórdão nº 4561/16 </w:t>
      </w:r>
      <w:r w:rsidR="00D24867">
        <w:rPr>
          <w:rFonts w:ascii="Arial" w:hAnsi="Arial" w:cs="Arial"/>
          <w:sz w:val="20"/>
          <w:szCs w:val="20"/>
        </w:rPr>
        <w:t>-</w:t>
      </w:r>
      <w:r w:rsidRPr="003F0088">
        <w:rPr>
          <w:rFonts w:ascii="Arial" w:hAnsi="Arial" w:cs="Arial"/>
          <w:sz w:val="20"/>
          <w:szCs w:val="20"/>
        </w:rPr>
        <w:t xml:space="preserve"> Tribunal Pleno, a jurisprudência do Tribunal de Contas da União não admite a exigência de apresentação de amostras como condição de participação, por ausência de base legal (Acórdãos 2.368/2013-TCU-Plenário, 1.291/2011-TCU-Plenário, 2.780/2011- TCU-2ª Câmara, 4.278/2009-TCU-1ª Câmara, 1.332/2007-TCU-Plenário, 3.130/2007-TCU-1ª Câmara e 3.395/2007-1ª Câmara). Assim, numa primeira análise dos argumentos e documentos carreados aos autos, encontra-se presente a verossimilhança do direito alegado, a justificar a concessão da medida cautelar. O perigo da demora, por sua vez, decorre do fato de o edital impugnado prever a realização da licitação na data de 15/03/2017, às 9h, de modo que se mostra indispensável </w:t>
      </w:r>
      <w:proofErr w:type="gramStart"/>
      <w:r w:rsidRPr="003F0088">
        <w:rPr>
          <w:rFonts w:ascii="Arial" w:hAnsi="Arial" w:cs="Arial"/>
          <w:sz w:val="20"/>
          <w:szCs w:val="20"/>
        </w:rPr>
        <w:t>a</w:t>
      </w:r>
      <w:proofErr w:type="gramEnd"/>
      <w:r w:rsidRPr="003F0088">
        <w:rPr>
          <w:rFonts w:ascii="Arial" w:hAnsi="Arial" w:cs="Arial"/>
          <w:sz w:val="20"/>
          <w:szCs w:val="20"/>
        </w:rPr>
        <w:t xml:space="preserve"> imediata atuação deste Tribunal.</w:t>
      </w:r>
    </w:p>
    <w:p w:rsidR="003F0088" w:rsidRDefault="003F0088" w:rsidP="00455387">
      <w:pPr>
        <w:autoSpaceDE w:val="0"/>
        <w:autoSpaceDN w:val="0"/>
        <w:adjustRightInd w:val="0"/>
        <w:spacing w:after="0"/>
        <w:jc w:val="both"/>
        <w:rPr>
          <w:rFonts w:ascii="Arial" w:hAnsi="Arial" w:cs="Arial"/>
          <w:b/>
          <w:sz w:val="20"/>
          <w:szCs w:val="20"/>
        </w:rPr>
      </w:pPr>
    </w:p>
    <w:p w:rsidR="00D24867" w:rsidRDefault="00D24867" w:rsidP="00D24867">
      <w:pPr>
        <w:spacing w:after="0"/>
        <w:jc w:val="both"/>
        <w:rPr>
          <w:rFonts w:ascii="Arial" w:hAnsi="Arial" w:cs="Arial"/>
          <w:sz w:val="20"/>
          <w:szCs w:val="20"/>
        </w:rPr>
      </w:pPr>
      <w:r>
        <w:rPr>
          <w:rFonts w:ascii="Arial" w:hAnsi="Arial" w:cs="Arial"/>
          <w:sz w:val="20"/>
          <w:szCs w:val="20"/>
        </w:rPr>
        <w:t xml:space="preserve">Processo n° 183405/17 - </w:t>
      </w:r>
      <w:hyperlink r:id="rId15" w:history="1">
        <w:r w:rsidRPr="00C12603">
          <w:rPr>
            <w:rStyle w:val="Hyperlink"/>
            <w:rFonts w:ascii="Arial" w:hAnsi="Arial" w:cs="Arial"/>
            <w:sz w:val="20"/>
            <w:szCs w:val="20"/>
          </w:rPr>
          <w:t>Acórdão n° 1127/17 - Tribunal Pleno</w:t>
        </w:r>
      </w:hyperlink>
      <w:r>
        <w:rPr>
          <w:rFonts w:ascii="Arial" w:hAnsi="Arial" w:cs="Arial"/>
          <w:sz w:val="20"/>
          <w:szCs w:val="20"/>
        </w:rPr>
        <w:t xml:space="preserve"> - Rel. Cons. Ivens Zschoerper Linhares.  </w:t>
      </w:r>
    </w:p>
    <w:p w:rsidR="00D24867" w:rsidRDefault="00D24867" w:rsidP="00D24867">
      <w:pPr>
        <w:spacing w:after="0"/>
        <w:jc w:val="both"/>
        <w:rPr>
          <w:rFonts w:ascii="Arial" w:hAnsi="Arial" w:cs="Arial"/>
          <w:sz w:val="20"/>
          <w:szCs w:val="20"/>
        </w:rPr>
      </w:pPr>
    </w:p>
    <w:p w:rsidR="00FA362B" w:rsidRPr="00455387" w:rsidRDefault="00E67390" w:rsidP="00455387">
      <w:pPr>
        <w:autoSpaceDE w:val="0"/>
        <w:autoSpaceDN w:val="0"/>
        <w:adjustRightInd w:val="0"/>
        <w:spacing w:after="0"/>
        <w:jc w:val="both"/>
        <w:rPr>
          <w:rFonts w:ascii="Arial" w:hAnsi="Arial" w:cs="Arial"/>
          <w:b/>
          <w:sz w:val="20"/>
          <w:szCs w:val="20"/>
        </w:rPr>
      </w:pPr>
      <w:r>
        <w:rPr>
          <w:rFonts w:ascii="Arial" w:hAnsi="Arial" w:cs="Arial"/>
          <w:b/>
          <w:sz w:val="20"/>
          <w:szCs w:val="20"/>
        </w:rPr>
        <w:t xml:space="preserve">8. </w:t>
      </w:r>
      <w:r w:rsidR="00994A4B" w:rsidRPr="00455387">
        <w:rPr>
          <w:rFonts w:ascii="Arial" w:hAnsi="Arial" w:cs="Arial"/>
          <w:b/>
          <w:sz w:val="20"/>
          <w:szCs w:val="20"/>
        </w:rPr>
        <w:t xml:space="preserve">Representação da Lei n.º 8.666/1993. Pregão Presencial. Aquisição de pneus, câmaras de ar e protetores novos. Produtos de fabricação nacional. Requisito de habilitação de </w:t>
      </w:r>
      <w:r w:rsidR="00994A4B" w:rsidRPr="00455387">
        <w:rPr>
          <w:rFonts w:ascii="Arial" w:hAnsi="Arial" w:cs="Arial"/>
          <w:b/>
          <w:sz w:val="20"/>
          <w:szCs w:val="20"/>
        </w:rPr>
        <w:lastRenderedPageBreak/>
        <w:t xml:space="preserve">qualificação </w:t>
      </w:r>
      <w:proofErr w:type="gramStart"/>
      <w:r w:rsidR="00994A4B" w:rsidRPr="00455387">
        <w:rPr>
          <w:rFonts w:ascii="Arial" w:hAnsi="Arial" w:cs="Arial"/>
          <w:b/>
          <w:sz w:val="20"/>
          <w:szCs w:val="20"/>
        </w:rPr>
        <w:t>técnica não previsto</w:t>
      </w:r>
      <w:proofErr w:type="gramEnd"/>
      <w:r w:rsidR="00994A4B" w:rsidRPr="00455387">
        <w:rPr>
          <w:rFonts w:ascii="Arial" w:hAnsi="Arial" w:cs="Arial"/>
          <w:b/>
          <w:sz w:val="20"/>
          <w:szCs w:val="20"/>
        </w:rPr>
        <w:t xml:space="preserve"> em lei. Violação à lei de licitações. Inexistência de prejuízo ao erário. Procedência com expedição de recomendações.</w:t>
      </w:r>
    </w:p>
    <w:p w:rsidR="00FA362B" w:rsidRDefault="00FA362B" w:rsidP="00455387">
      <w:pPr>
        <w:autoSpaceDE w:val="0"/>
        <w:autoSpaceDN w:val="0"/>
        <w:adjustRightInd w:val="0"/>
        <w:spacing w:after="0"/>
        <w:jc w:val="both"/>
        <w:rPr>
          <w:rFonts w:ascii="Arial" w:hAnsi="Arial" w:cs="Arial"/>
          <w:sz w:val="20"/>
          <w:szCs w:val="20"/>
        </w:rPr>
      </w:pPr>
    </w:p>
    <w:p w:rsidR="00FA362B" w:rsidRDefault="00455387" w:rsidP="00455387">
      <w:pPr>
        <w:autoSpaceDE w:val="0"/>
        <w:autoSpaceDN w:val="0"/>
        <w:adjustRightInd w:val="0"/>
        <w:spacing w:after="0"/>
        <w:jc w:val="both"/>
        <w:rPr>
          <w:rFonts w:ascii="Arial" w:hAnsi="Arial" w:cs="Arial"/>
          <w:sz w:val="20"/>
          <w:szCs w:val="20"/>
        </w:rPr>
      </w:pPr>
      <w:r w:rsidRPr="00455387">
        <w:rPr>
          <w:rFonts w:ascii="Arial" w:hAnsi="Arial" w:cs="Arial"/>
          <w:sz w:val="20"/>
          <w:szCs w:val="20"/>
        </w:rPr>
        <w:t>A</w:t>
      </w:r>
      <w:r>
        <w:rPr>
          <w:rFonts w:ascii="Arial" w:hAnsi="Arial" w:cs="Arial"/>
          <w:sz w:val="20"/>
          <w:szCs w:val="20"/>
        </w:rPr>
        <w:t xml:space="preserve"> </w:t>
      </w:r>
      <w:r w:rsidRPr="00455387">
        <w:rPr>
          <w:rFonts w:ascii="Arial" w:hAnsi="Arial" w:cs="Arial"/>
          <w:sz w:val="20"/>
          <w:szCs w:val="20"/>
        </w:rPr>
        <w:t xml:space="preserve">Lei n.º 10.520/02, que instituiu a licitação modalidade pregão, veda que o objeto licitado contenha especificações que, por excessivas, irrelevantes ou desnecessárias, limitem a competição, nos termos de seu artigo 3º, inciso II. Vale dizer, é defeso ao agente público estabelecer condições/especificações que resultem em preferência a determinados proponentes, </w:t>
      </w:r>
      <w:proofErr w:type="gramStart"/>
      <w:r w:rsidRPr="00455387">
        <w:rPr>
          <w:rFonts w:ascii="Arial" w:hAnsi="Arial" w:cs="Arial"/>
          <w:sz w:val="20"/>
          <w:szCs w:val="20"/>
        </w:rPr>
        <w:t>sob pena</w:t>
      </w:r>
      <w:proofErr w:type="gramEnd"/>
      <w:r w:rsidRPr="00455387">
        <w:rPr>
          <w:rFonts w:ascii="Arial" w:hAnsi="Arial" w:cs="Arial"/>
          <w:sz w:val="20"/>
          <w:szCs w:val="20"/>
        </w:rPr>
        <w:t xml:space="preserve"> de violação ao princípio da isonomia e à competitividade da licitação. Nessa perspectiva, ensina Marçal Justen Filho que, </w:t>
      </w:r>
      <w:r w:rsidR="00906692">
        <w:rPr>
          <w:rFonts w:ascii="Arial" w:hAnsi="Arial" w:cs="Arial"/>
          <w:sz w:val="20"/>
          <w:szCs w:val="20"/>
        </w:rPr>
        <w:t xml:space="preserve">- </w:t>
      </w:r>
      <w:r w:rsidRPr="00455387">
        <w:rPr>
          <w:rFonts w:ascii="Arial" w:hAnsi="Arial" w:cs="Arial"/>
          <w:sz w:val="20"/>
          <w:szCs w:val="20"/>
        </w:rPr>
        <w:t xml:space="preserve">respeitadas as exigências necessárias para assegurar a seleção da proposta mais vantajosa, serão inválidas todas as cláusulas que, ainda indiretamente, prejudiquem o caráter </w:t>
      </w:r>
      <w:r w:rsidR="00A47D62">
        <w:rPr>
          <w:rFonts w:ascii="Arial" w:hAnsi="Arial" w:cs="Arial"/>
          <w:sz w:val="20"/>
          <w:szCs w:val="20"/>
        </w:rPr>
        <w:t>-</w:t>
      </w:r>
      <w:r w:rsidR="00906692">
        <w:rPr>
          <w:rFonts w:ascii="Arial" w:hAnsi="Arial" w:cs="Arial"/>
          <w:sz w:val="20"/>
          <w:szCs w:val="20"/>
        </w:rPr>
        <w:t xml:space="preserve"> </w:t>
      </w:r>
      <w:r w:rsidRPr="00455387">
        <w:rPr>
          <w:rFonts w:ascii="Arial" w:hAnsi="Arial" w:cs="Arial"/>
          <w:sz w:val="20"/>
          <w:szCs w:val="20"/>
        </w:rPr>
        <w:t>competitivo</w:t>
      </w:r>
      <w:r w:rsidR="00906692">
        <w:rPr>
          <w:rFonts w:ascii="Arial" w:hAnsi="Arial" w:cs="Arial"/>
          <w:sz w:val="20"/>
          <w:szCs w:val="20"/>
        </w:rPr>
        <w:t xml:space="preserve"> </w:t>
      </w:r>
      <w:r w:rsidRPr="00455387">
        <w:rPr>
          <w:rFonts w:ascii="Arial" w:hAnsi="Arial" w:cs="Arial"/>
          <w:sz w:val="20"/>
          <w:szCs w:val="20"/>
        </w:rPr>
        <w:t>da licitação. No caso em apreço, verifica-se que a exigência de produtos de fabricação nacional encontra-se em desconformidade com os dispositivos supracitados, porquanto é excessiva e estabelece preferências em razão da nacionalidade do produto, ferindo a competitividade do certame. Além disso, a previsão editalícia não possui respaldo legal, vez que o ordenamento jurídico não prevê distinções dessa natureza, sendo que a Lei n.º 8.666/93 apenas utiliza o critério da nacionalidade para eventual empate nas licitações (artigo 3º,</w:t>
      </w:r>
      <w:r w:rsidR="00A47D62">
        <w:rPr>
          <w:rFonts w:ascii="Arial" w:hAnsi="Arial" w:cs="Arial"/>
          <w:sz w:val="20"/>
          <w:szCs w:val="20"/>
        </w:rPr>
        <w:t xml:space="preserve"> </w:t>
      </w:r>
      <w:r w:rsidRPr="00455387">
        <w:rPr>
          <w:rFonts w:ascii="Arial" w:hAnsi="Arial" w:cs="Arial"/>
          <w:sz w:val="20"/>
          <w:szCs w:val="20"/>
        </w:rPr>
        <w:t>§2º) e no caso de estabelecimento de margem de preferência (artigo 3º, §5º), não sendo estas a hipótese dos autos.</w:t>
      </w:r>
    </w:p>
    <w:p w:rsidR="00045700" w:rsidRDefault="00045700" w:rsidP="00455387">
      <w:pPr>
        <w:autoSpaceDE w:val="0"/>
        <w:autoSpaceDN w:val="0"/>
        <w:adjustRightInd w:val="0"/>
        <w:spacing w:after="0"/>
        <w:jc w:val="both"/>
        <w:rPr>
          <w:rFonts w:ascii="Arial" w:hAnsi="Arial" w:cs="Arial"/>
          <w:sz w:val="20"/>
          <w:szCs w:val="20"/>
        </w:rPr>
      </w:pPr>
    </w:p>
    <w:p w:rsidR="00045700" w:rsidRDefault="00045700" w:rsidP="00455387">
      <w:pPr>
        <w:autoSpaceDE w:val="0"/>
        <w:autoSpaceDN w:val="0"/>
        <w:adjustRightInd w:val="0"/>
        <w:spacing w:after="0"/>
        <w:jc w:val="both"/>
        <w:rPr>
          <w:rFonts w:ascii="Arial" w:hAnsi="Arial" w:cs="Arial"/>
          <w:sz w:val="20"/>
          <w:szCs w:val="20"/>
        </w:rPr>
      </w:pPr>
      <w:r w:rsidRPr="00045700">
        <w:rPr>
          <w:rFonts w:ascii="Arial" w:hAnsi="Arial" w:cs="Arial"/>
          <w:sz w:val="20"/>
          <w:szCs w:val="20"/>
        </w:rPr>
        <w:t xml:space="preserve">Não obstante, considero que não houve má-fé dos interessados com a inserção das exigências em questão no edital, tampouco prejuízo ao erário ou direcionamento do certame, de modo que deixo de aplicar multas administrativas pelas irregularidades narradas. Cabe, todavia, em conformidade com a unidade técnica, recomendar ao Município de Conselheiro Mairinck que, em futuras licitações, não inclua cláusulas que estabeleçam preferências injustificadas por produtos nacionais, ainda que indiretamente, bem como estabeleça como requisitos de habilitação referente à qualificação técnica apenas aqueles previstos na Lei n.º 8.666/93, </w:t>
      </w:r>
      <w:proofErr w:type="gramStart"/>
      <w:r w:rsidRPr="00045700">
        <w:rPr>
          <w:rFonts w:ascii="Arial" w:hAnsi="Arial" w:cs="Arial"/>
          <w:sz w:val="20"/>
          <w:szCs w:val="20"/>
        </w:rPr>
        <w:t>sob pena</w:t>
      </w:r>
      <w:proofErr w:type="gramEnd"/>
      <w:r w:rsidRPr="00045700">
        <w:rPr>
          <w:rFonts w:ascii="Arial" w:hAnsi="Arial" w:cs="Arial"/>
          <w:sz w:val="20"/>
          <w:szCs w:val="20"/>
        </w:rPr>
        <w:t xml:space="preserve"> de arcar com as respectivas consequências legais.</w:t>
      </w:r>
    </w:p>
    <w:p w:rsidR="00977C0A" w:rsidRDefault="00977C0A" w:rsidP="00455387">
      <w:pPr>
        <w:autoSpaceDE w:val="0"/>
        <w:autoSpaceDN w:val="0"/>
        <w:adjustRightInd w:val="0"/>
        <w:spacing w:after="0"/>
        <w:jc w:val="both"/>
        <w:rPr>
          <w:rFonts w:ascii="Arial" w:hAnsi="Arial" w:cs="Arial"/>
          <w:sz w:val="20"/>
          <w:szCs w:val="20"/>
        </w:rPr>
      </w:pPr>
    </w:p>
    <w:p w:rsidR="00977C0A" w:rsidRPr="00536E4B" w:rsidRDefault="00977C0A" w:rsidP="00977C0A">
      <w:pPr>
        <w:spacing w:after="0"/>
        <w:jc w:val="both"/>
        <w:rPr>
          <w:rFonts w:ascii="Arial" w:hAnsi="Arial" w:cs="Arial"/>
          <w:sz w:val="20"/>
          <w:szCs w:val="20"/>
        </w:rPr>
      </w:pPr>
      <w:r>
        <w:rPr>
          <w:rFonts w:ascii="Arial" w:hAnsi="Arial" w:cs="Arial"/>
          <w:sz w:val="20"/>
          <w:szCs w:val="20"/>
        </w:rPr>
        <w:t>Processo n° 78760/13</w:t>
      </w:r>
      <w:r w:rsidRPr="00536E4B">
        <w:rPr>
          <w:rFonts w:ascii="Arial" w:hAnsi="Arial" w:cs="Arial"/>
          <w:sz w:val="20"/>
          <w:szCs w:val="20"/>
        </w:rPr>
        <w:t xml:space="preserve"> - </w:t>
      </w:r>
      <w:hyperlink r:id="rId16" w:history="1">
        <w:r w:rsidRPr="0033604C">
          <w:rPr>
            <w:rStyle w:val="Hyperlink"/>
            <w:rFonts w:ascii="Arial" w:hAnsi="Arial" w:cs="Arial"/>
            <w:sz w:val="20"/>
            <w:szCs w:val="20"/>
          </w:rPr>
          <w:t xml:space="preserve">Acórdão n° </w:t>
        </w:r>
        <w:r w:rsidR="0033604C" w:rsidRPr="0033604C">
          <w:rPr>
            <w:rStyle w:val="Hyperlink"/>
            <w:rFonts w:ascii="Arial" w:hAnsi="Arial" w:cs="Arial"/>
            <w:sz w:val="20"/>
            <w:szCs w:val="20"/>
          </w:rPr>
          <w:t>1118</w:t>
        </w:r>
        <w:r w:rsidRPr="0033604C">
          <w:rPr>
            <w:rStyle w:val="Hyperlink"/>
            <w:rFonts w:ascii="Arial" w:hAnsi="Arial" w:cs="Arial"/>
            <w:sz w:val="20"/>
            <w:szCs w:val="20"/>
          </w:rPr>
          <w:t xml:space="preserve">/17 </w:t>
        </w:r>
        <w:r w:rsidR="0033604C" w:rsidRPr="0033604C">
          <w:rPr>
            <w:rStyle w:val="Hyperlink"/>
            <w:rFonts w:ascii="Arial" w:hAnsi="Arial" w:cs="Arial"/>
            <w:sz w:val="20"/>
            <w:szCs w:val="20"/>
          </w:rPr>
          <w:t>-</w:t>
        </w:r>
        <w:r w:rsidRPr="0033604C">
          <w:rPr>
            <w:rStyle w:val="Hyperlink"/>
            <w:rFonts w:ascii="Arial" w:hAnsi="Arial" w:cs="Arial"/>
            <w:sz w:val="20"/>
            <w:szCs w:val="20"/>
          </w:rPr>
          <w:t xml:space="preserve"> </w:t>
        </w:r>
        <w:r w:rsidR="0033604C" w:rsidRPr="0033604C">
          <w:rPr>
            <w:rStyle w:val="Hyperlink"/>
            <w:rFonts w:ascii="Arial" w:hAnsi="Arial" w:cs="Arial"/>
            <w:sz w:val="20"/>
            <w:szCs w:val="20"/>
          </w:rPr>
          <w:t>Tribunal Pleno</w:t>
        </w:r>
      </w:hyperlink>
      <w:r w:rsidR="0033604C">
        <w:rPr>
          <w:rFonts w:ascii="Arial" w:hAnsi="Arial" w:cs="Arial"/>
          <w:sz w:val="20"/>
          <w:szCs w:val="20"/>
        </w:rPr>
        <w:t xml:space="preserve"> </w:t>
      </w:r>
      <w:r w:rsidRPr="00536E4B">
        <w:rPr>
          <w:rFonts w:ascii="Arial" w:hAnsi="Arial" w:cs="Arial"/>
          <w:sz w:val="20"/>
          <w:szCs w:val="20"/>
        </w:rPr>
        <w:t xml:space="preserve">- Rel. </w:t>
      </w:r>
      <w:r w:rsidR="0033604C">
        <w:rPr>
          <w:rFonts w:ascii="Arial" w:hAnsi="Arial" w:cs="Arial"/>
          <w:sz w:val="20"/>
          <w:szCs w:val="20"/>
        </w:rPr>
        <w:t xml:space="preserve">Conselheiro Ivan </w:t>
      </w:r>
      <w:proofErr w:type="spellStart"/>
      <w:r w:rsidR="0033604C">
        <w:rPr>
          <w:rFonts w:ascii="Arial" w:hAnsi="Arial" w:cs="Arial"/>
          <w:sz w:val="20"/>
          <w:szCs w:val="20"/>
        </w:rPr>
        <w:t>Lelis</w:t>
      </w:r>
      <w:proofErr w:type="spellEnd"/>
      <w:r w:rsidR="0033604C">
        <w:rPr>
          <w:rFonts w:ascii="Arial" w:hAnsi="Arial" w:cs="Arial"/>
          <w:sz w:val="20"/>
          <w:szCs w:val="20"/>
        </w:rPr>
        <w:t xml:space="preserve"> Bonilha. </w:t>
      </w:r>
    </w:p>
    <w:p w:rsidR="00FA362B" w:rsidRDefault="00FA362B" w:rsidP="00977C0A">
      <w:pPr>
        <w:autoSpaceDE w:val="0"/>
        <w:autoSpaceDN w:val="0"/>
        <w:adjustRightInd w:val="0"/>
        <w:spacing w:after="0"/>
        <w:jc w:val="both"/>
        <w:rPr>
          <w:rFonts w:ascii="Arial" w:hAnsi="Arial" w:cs="Arial"/>
          <w:sz w:val="20"/>
          <w:szCs w:val="20"/>
        </w:rPr>
      </w:pPr>
    </w:p>
    <w:p w:rsidR="00FA362B" w:rsidRPr="0049557F" w:rsidRDefault="00E67390" w:rsidP="0049557F">
      <w:pPr>
        <w:autoSpaceDE w:val="0"/>
        <w:autoSpaceDN w:val="0"/>
        <w:adjustRightInd w:val="0"/>
        <w:spacing w:after="0"/>
        <w:jc w:val="both"/>
        <w:rPr>
          <w:rFonts w:ascii="Arial" w:hAnsi="Arial" w:cs="Arial"/>
          <w:b/>
          <w:sz w:val="20"/>
          <w:szCs w:val="20"/>
        </w:rPr>
      </w:pPr>
      <w:r>
        <w:rPr>
          <w:rFonts w:ascii="Arial" w:hAnsi="Arial" w:cs="Arial"/>
          <w:b/>
          <w:sz w:val="20"/>
          <w:szCs w:val="20"/>
        </w:rPr>
        <w:t xml:space="preserve">9. </w:t>
      </w:r>
      <w:r w:rsidR="0049557F" w:rsidRPr="0049557F">
        <w:rPr>
          <w:rFonts w:ascii="Arial" w:hAnsi="Arial" w:cs="Arial"/>
          <w:b/>
          <w:sz w:val="20"/>
          <w:szCs w:val="20"/>
        </w:rPr>
        <w:t xml:space="preserve">Prestação de contas de Entidade Estadual. Devem ser sensivelmente mitigados os efeitos de insuficiências financeiras na análise de contas de órgão dependente de repasses intragovernamentais, em razão da patente influência que sofre a entidade no que tange à captação de recursos </w:t>
      </w:r>
      <w:r w:rsidR="005E350B">
        <w:rPr>
          <w:rFonts w:ascii="Arial" w:hAnsi="Arial" w:cs="Arial"/>
          <w:b/>
          <w:sz w:val="20"/>
          <w:szCs w:val="20"/>
        </w:rPr>
        <w:t>-</w:t>
      </w:r>
      <w:r w:rsidR="0049557F" w:rsidRPr="0049557F">
        <w:rPr>
          <w:rFonts w:ascii="Arial" w:hAnsi="Arial" w:cs="Arial"/>
          <w:b/>
          <w:sz w:val="20"/>
          <w:szCs w:val="20"/>
        </w:rPr>
        <w:t xml:space="preserve"> Orientação fixada no Processo 25642-1/15. Regularidade com recomendação referente à observação dos prazos para envio de dados no SEI-CED.</w:t>
      </w:r>
    </w:p>
    <w:p w:rsidR="00FA362B" w:rsidRPr="0049557F" w:rsidRDefault="00FA362B" w:rsidP="0049557F">
      <w:pPr>
        <w:autoSpaceDE w:val="0"/>
        <w:autoSpaceDN w:val="0"/>
        <w:adjustRightInd w:val="0"/>
        <w:spacing w:after="0"/>
        <w:jc w:val="both"/>
        <w:rPr>
          <w:rFonts w:ascii="Arial" w:hAnsi="Arial" w:cs="Arial"/>
          <w:b/>
          <w:sz w:val="20"/>
          <w:szCs w:val="20"/>
        </w:rPr>
      </w:pPr>
    </w:p>
    <w:p w:rsidR="00FA362B" w:rsidRPr="00586D7A" w:rsidRDefault="00586D7A" w:rsidP="00586D7A">
      <w:pPr>
        <w:autoSpaceDE w:val="0"/>
        <w:autoSpaceDN w:val="0"/>
        <w:adjustRightInd w:val="0"/>
        <w:spacing w:after="0"/>
        <w:jc w:val="both"/>
        <w:rPr>
          <w:rFonts w:ascii="Arial" w:hAnsi="Arial" w:cs="Arial"/>
          <w:sz w:val="20"/>
          <w:szCs w:val="20"/>
        </w:rPr>
      </w:pPr>
      <w:r>
        <w:rPr>
          <w:rFonts w:ascii="Arial" w:hAnsi="Arial" w:cs="Arial"/>
          <w:sz w:val="20"/>
          <w:szCs w:val="20"/>
        </w:rPr>
        <w:t>Q</w:t>
      </w:r>
      <w:r w:rsidR="007F2086" w:rsidRPr="00586D7A">
        <w:rPr>
          <w:rFonts w:ascii="Arial" w:hAnsi="Arial" w:cs="Arial"/>
          <w:sz w:val="20"/>
          <w:szCs w:val="20"/>
        </w:rPr>
        <w:t xml:space="preserve">uanto ao déficit orçamentário, salvo máxima vênia, entendo não ser causa de aposição de ressalva. Há de se considerar que estamos tratando das contas de órgão dependente de repasses intragovernamentais, de modo que devem ser sensivelmente mitigados os efeitos de insuficiências financeiras, em razão da patente influência que sofre a entidade no que tange à captação de recursos, conforme entendimento já adotado pela </w:t>
      </w:r>
      <w:r w:rsidR="00C21959">
        <w:rPr>
          <w:rFonts w:ascii="Arial" w:hAnsi="Arial" w:cs="Arial"/>
          <w:sz w:val="20"/>
          <w:szCs w:val="20"/>
        </w:rPr>
        <w:t xml:space="preserve">Primeira </w:t>
      </w:r>
      <w:r w:rsidR="007F2086" w:rsidRPr="00586D7A">
        <w:rPr>
          <w:rFonts w:ascii="Arial" w:hAnsi="Arial" w:cs="Arial"/>
          <w:sz w:val="20"/>
          <w:szCs w:val="20"/>
        </w:rPr>
        <w:t xml:space="preserve">Câmara desta Corte no Processo 25642-1/15. Ademais, o déficit não é financeiro </w:t>
      </w:r>
      <w:r w:rsidR="00C21959">
        <w:rPr>
          <w:rFonts w:ascii="Arial" w:hAnsi="Arial" w:cs="Arial"/>
          <w:sz w:val="20"/>
          <w:szCs w:val="20"/>
        </w:rPr>
        <w:t>-</w:t>
      </w:r>
      <w:r w:rsidR="007F2086" w:rsidRPr="00586D7A">
        <w:rPr>
          <w:rFonts w:ascii="Arial" w:hAnsi="Arial" w:cs="Arial"/>
          <w:sz w:val="20"/>
          <w:szCs w:val="20"/>
        </w:rPr>
        <w:t xml:space="preserve"> não correspondendo a gastos acima das receitas </w:t>
      </w:r>
      <w:r w:rsidR="00C21959">
        <w:rPr>
          <w:rFonts w:ascii="Arial" w:hAnsi="Arial" w:cs="Arial"/>
          <w:sz w:val="20"/>
          <w:szCs w:val="20"/>
        </w:rPr>
        <w:t>-</w:t>
      </w:r>
      <w:r w:rsidR="007F2086" w:rsidRPr="00586D7A">
        <w:rPr>
          <w:rFonts w:ascii="Arial" w:hAnsi="Arial" w:cs="Arial"/>
          <w:sz w:val="20"/>
          <w:szCs w:val="20"/>
        </w:rPr>
        <w:t xml:space="preserve"> e é materialmente pequeno (0,65%).</w:t>
      </w:r>
    </w:p>
    <w:p w:rsidR="00FA362B" w:rsidRPr="00586D7A" w:rsidRDefault="00FA362B" w:rsidP="00586D7A">
      <w:pPr>
        <w:autoSpaceDE w:val="0"/>
        <w:autoSpaceDN w:val="0"/>
        <w:adjustRightInd w:val="0"/>
        <w:spacing w:after="0"/>
        <w:jc w:val="both"/>
        <w:rPr>
          <w:rFonts w:ascii="Arial" w:hAnsi="Arial" w:cs="Arial"/>
          <w:sz w:val="20"/>
          <w:szCs w:val="20"/>
        </w:rPr>
      </w:pPr>
    </w:p>
    <w:p w:rsidR="00FA362B" w:rsidRDefault="00586D7A" w:rsidP="00586D7A">
      <w:pPr>
        <w:autoSpaceDE w:val="0"/>
        <w:autoSpaceDN w:val="0"/>
        <w:adjustRightInd w:val="0"/>
        <w:spacing w:after="0"/>
        <w:jc w:val="both"/>
        <w:rPr>
          <w:rFonts w:ascii="Arial" w:hAnsi="Arial" w:cs="Arial"/>
          <w:sz w:val="20"/>
          <w:szCs w:val="20"/>
        </w:rPr>
      </w:pPr>
      <w:r w:rsidRPr="00586D7A">
        <w:rPr>
          <w:rFonts w:ascii="Arial" w:hAnsi="Arial" w:cs="Arial"/>
          <w:sz w:val="20"/>
          <w:szCs w:val="20"/>
        </w:rPr>
        <w:lastRenderedPageBreak/>
        <w:t>No que tange aos atrasos no fechamento e encaminhamento de dados do SEI-CED, consoante já observado em várias outras prestações de contas (</w:t>
      </w:r>
      <w:r w:rsidRPr="00C21959">
        <w:rPr>
          <w:rFonts w:ascii="Arial" w:hAnsi="Arial" w:cs="Arial"/>
          <w:i/>
          <w:sz w:val="20"/>
          <w:szCs w:val="20"/>
        </w:rPr>
        <w:t>v.g.</w:t>
      </w:r>
      <w:r w:rsidRPr="00586D7A">
        <w:rPr>
          <w:rFonts w:ascii="Arial" w:hAnsi="Arial" w:cs="Arial"/>
          <w:sz w:val="20"/>
          <w:szCs w:val="20"/>
        </w:rPr>
        <w:t xml:space="preserve"> 22305-5/16 e 35451-6/16), mostra-se essencial destacar que 2015 </w:t>
      </w:r>
      <w:proofErr w:type="gramStart"/>
      <w:r w:rsidRPr="00586D7A">
        <w:rPr>
          <w:rFonts w:ascii="Arial" w:hAnsi="Arial" w:cs="Arial"/>
          <w:sz w:val="20"/>
          <w:szCs w:val="20"/>
        </w:rPr>
        <w:t>foi</w:t>
      </w:r>
      <w:proofErr w:type="gramEnd"/>
      <w:r w:rsidRPr="00586D7A">
        <w:rPr>
          <w:rFonts w:ascii="Arial" w:hAnsi="Arial" w:cs="Arial"/>
          <w:sz w:val="20"/>
          <w:szCs w:val="20"/>
        </w:rPr>
        <w:t xml:space="preserve"> o primeiro ano de alguns módulos do SEI-CED e que muitas Entidades noticiaram dificuldades no envio de informações. Além disso, e mais importante, entendo que as datas de envio demonstram que houve busca pelo atendimento dos prazos, uma vez que o atraso no segundo quadrimestre foi de oito meses e no terceiro de cinco meses.</w:t>
      </w:r>
    </w:p>
    <w:p w:rsidR="00C21959" w:rsidRPr="00586D7A" w:rsidRDefault="00C21959" w:rsidP="00586D7A">
      <w:pPr>
        <w:autoSpaceDE w:val="0"/>
        <w:autoSpaceDN w:val="0"/>
        <w:adjustRightInd w:val="0"/>
        <w:spacing w:after="0"/>
        <w:jc w:val="both"/>
        <w:rPr>
          <w:rFonts w:ascii="Arial" w:hAnsi="Arial" w:cs="Arial"/>
          <w:sz w:val="20"/>
          <w:szCs w:val="20"/>
        </w:rPr>
      </w:pPr>
    </w:p>
    <w:p w:rsidR="000C5EB3" w:rsidRDefault="000C5EB3" w:rsidP="000C5EB3">
      <w:pPr>
        <w:spacing w:after="0"/>
        <w:jc w:val="both"/>
        <w:rPr>
          <w:rFonts w:ascii="Arial" w:hAnsi="Arial" w:cs="Arial"/>
          <w:sz w:val="20"/>
          <w:szCs w:val="20"/>
        </w:rPr>
      </w:pPr>
      <w:r>
        <w:rPr>
          <w:rFonts w:ascii="Arial" w:hAnsi="Arial" w:cs="Arial"/>
          <w:sz w:val="20"/>
          <w:szCs w:val="20"/>
        </w:rPr>
        <w:t xml:space="preserve">Processo n° </w:t>
      </w:r>
      <w:r w:rsidR="00C53CAD">
        <w:rPr>
          <w:rFonts w:ascii="Arial" w:hAnsi="Arial" w:cs="Arial"/>
          <w:sz w:val="20"/>
          <w:szCs w:val="20"/>
        </w:rPr>
        <w:t>359313</w:t>
      </w:r>
      <w:r>
        <w:rPr>
          <w:rFonts w:ascii="Arial" w:hAnsi="Arial" w:cs="Arial"/>
          <w:sz w:val="20"/>
          <w:szCs w:val="20"/>
        </w:rPr>
        <w:t>/1</w:t>
      </w:r>
      <w:r w:rsidR="00C53CAD">
        <w:rPr>
          <w:rFonts w:ascii="Arial" w:hAnsi="Arial" w:cs="Arial"/>
          <w:sz w:val="20"/>
          <w:szCs w:val="20"/>
        </w:rPr>
        <w:t>6</w:t>
      </w:r>
      <w:r w:rsidRPr="00536E4B">
        <w:rPr>
          <w:rFonts w:ascii="Arial" w:hAnsi="Arial" w:cs="Arial"/>
          <w:sz w:val="20"/>
          <w:szCs w:val="20"/>
        </w:rPr>
        <w:t xml:space="preserve"> - </w:t>
      </w:r>
      <w:hyperlink r:id="rId17" w:history="1">
        <w:r w:rsidRPr="00EC4299">
          <w:rPr>
            <w:rStyle w:val="Hyperlink"/>
            <w:rFonts w:ascii="Arial" w:hAnsi="Arial" w:cs="Arial"/>
            <w:sz w:val="20"/>
            <w:szCs w:val="20"/>
          </w:rPr>
          <w:t xml:space="preserve">Acórdão n° </w:t>
        </w:r>
        <w:r w:rsidR="00C53CAD" w:rsidRPr="00EC4299">
          <w:rPr>
            <w:rStyle w:val="Hyperlink"/>
            <w:rFonts w:ascii="Arial" w:hAnsi="Arial" w:cs="Arial"/>
            <w:sz w:val="20"/>
            <w:szCs w:val="20"/>
          </w:rPr>
          <w:t>1114</w:t>
        </w:r>
        <w:r w:rsidRPr="00EC4299">
          <w:rPr>
            <w:rStyle w:val="Hyperlink"/>
            <w:rFonts w:ascii="Arial" w:hAnsi="Arial" w:cs="Arial"/>
            <w:sz w:val="20"/>
            <w:szCs w:val="20"/>
          </w:rPr>
          <w:t>/1</w:t>
        </w:r>
        <w:r w:rsidR="00C53CAD" w:rsidRPr="00EC4299">
          <w:rPr>
            <w:rStyle w:val="Hyperlink"/>
            <w:rFonts w:ascii="Arial" w:hAnsi="Arial" w:cs="Arial"/>
            <w:sz w:val="20"/>
            <w:szCs w:val="20"/>
          </w:rPr>
          <w:t>7</w:t>
        </w:r>
        <w:r w:rsidRPr="00EC4299">
          <w:rPr>
            <w:rStyle w:val="Hyperlink"/>
            <w:rFonts w:ascii="Arial" w:hAnsi="Arial" w:cs="Arial"/>
            <w:sz w:val="20"/>
            <w:szCs w:val="20"/>
          </w:rPr>
          <w:t xml:space="preserve"> - Tribunal Pleno</w:t>
        </w:r>
      </w:hyperlink>
      <w:r>
        <w:rPr>
          <w:rFonts w:ascii="Arial" w:hAnsi="Arial" w:cs="Arial"/>
          <w:sz w:val="20"/>
          <w:szCs w:val="20"/>
        </w:rPr>
        <w:t xml:space="preserve"> </w:t>
      </w:r>
      <w:r w:rsidRPr="00536E4B">
        <w:rPr>
          <w:rFonts w:ascii="Arial" w:hAnsi="Arial" w:cs="Arial"/>
          <w:sz w:val="20"/>
          <w:szCs w:val="20"/>
        </w:rPr>
        <w:t xml:space="preserve">- Rel. </w:t>
      </w:r>
      <w:r>
        <w:rPr>
          <w:rFonts w:ascii="Arial" w:hAnsi="Arial" w:cs="Arial"/>
          <w:sz w:val="20"/>
          <w:szCs w:val="20"/>
        </w:rPr>
        <w:t>Cons</w:t>
      </w:r>
      <w:r w:rsidR="00C53CAD">
        <w:rPr>
          <w:rFonts w:ascii="Arial" w:hAnsi="Arial" w:cs="Arial"/>
          <w:sz w:val="20"/>
          <w:szCs w:val="20"/>
        </w:rPr>
        <w:t xml:space="preserve">. Fernando Augusto Mello Guimarães. </w:t>
      </w:r>
      <w:r>
        <w:rPr>
          <w:rFonts w:ascii="Arial" w:hAnsi="Arial" w:cs="Arial"/>
          <w:sz w:val="20"/>
          <w:szCs w:val="20"/>
        </w:rPr>
        <w:t xml:space="preserve"> </w:t>
      </w:r>
    </w:p>
    <w:p w:rsidR="00142D10" w:rsidRDefault="00142D10" w:rsidP="000C5EB3">
      <w:pPr>
        <w:spacing w:after="0"/>
        <w:jc w:val="both"/>
        <w:rPr>
          <w:rFonts w:ascii="Arial" w:hAnsi="Arial" w:cs="Arial"/>
          <w:sz w:val="20"/>
          <w:szCs w:val="20"/>
        </w:rPr>
      </w:pPr>
    </w:p>
    <w:p w:rsidR="00142D10" w:rsidRDefault="00E67390" w:rsidP="00142D10">
      <w:pPr>
        <w:autoSpaceDE w:val="0"/>
        <w:autoSpaceDN w:val="0"/>
        <w:adjustRightInd w:val="0"/>
        <w:spacing w:after="0"/>
        <w:jc w:val="both"/>
        <w:rPr>
          <w:rFonts w:ascii="Arial" w:hAnsi="Arial" w:cs="Arial"/>
          <w:b/>
          <w:sz w:val="20"/>
          <w:szCs w:val="20"/>
        </w:rPr>
      </w:pPr>
      <w:r>
        <w:rPr>
          <w:rFonts w:ascii="Arial" w:hAnsi="Arial" w:cs="Arial"/>
          <w:b/>
          <w:sz w:val="20"/>
          <w:szCs w:val="20"/>
        </w:rPr>
        <w:t xml:space="preserve">10. </w:t>
      </w:r>
      <w:r w:rsidR="00142D10">
        <w:rPr>
          <w:rFonts w:ascii="Arial" w:hAnsi="Arial" w:cs="Arial"/>
          <w:b/>
          <w:sz w:val="20"/>
          <w:szCs w:val="20"/>
        </w:rPr>
        <w:t>Representação. Licitação. Publicidade. Aditamentos. Necessidade de comprovação de publicação.</w:t>
      </w:r>
    </w:p>
    <w:p w:rsidR="00CF0873" w:rsidRDefault="00CF0873" w:rsidP="00142D10">
      <w:pPr>
        <w:autoSpaceDE w:val="0"/>
        <w:autoSpaceDN w:val="0"/>
        <w:adjustRightInd w:val="0"/>
        <w:spacing w:after="0"/>
        <w:jc w:val="both"/>
        <w:rPr>
          <w:rFonts w:ascii="Arial" w:hAnsi="Arial" w:cs="Arial"/>
          <w:color w:val="000000"/>
          <w:sz w:val="20"/>
          <w:szCs w:val="20"/>
          <w:shd w:val="clear" w:color="auto" w:fill="FFFFFF"/>
        </w:rPr>
      </w:pPr>
    </w:p>
    <w:p w:rsidR="00142D10" w:rsidRDefault="00142D10" w:rsidP="00142D10">
      <w:pPr>
        <w:autoSpaceDE w:val="0"/>
        <w:autoSpaceDN w:val="0"/>
        <w:adjustRightInd w:val="0"/>
        <w:spacing w:after="0"/>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Conforme artigo 61, parágrafo único, da Lei 8.666/93, a publicação resumida do instrumento de contrato ou de seus aditamentos na imprensa oficial, que é condição indispensável para sua eficácia, será providenciada pela Administração até o quinto dia útil do mês seguinte ao de sua assinatura, para ocorrer no prazo de vinte dias daquela data, qualquer que seja o seu valor, ainda que sem ônus, ressalvado o disposto no art. 26 da Lei 8.666/93. </w:t>
      </w:r>
    </w:p>
    <w:p w:rsidR="00142D10" w:rsidRDefault="00142D10" w:rsidP="00142D10">
      <w:pPr>
        <w:autoSpaceDE w:val="0"/>
        <w:autoSpaceDN w:val="0"/>
        <w:adjustRightInd w:val="0"/>
        <w:spacing w:after="0"/>
        <w:jc w:val="both"/>
        <w:rPr>
          <w:rFonts w:ascii="Arial" w:hAnsi="Arial" w:cs="Arial"/>
          <w:color w:val="000000"/>
          <w:sz w:val="20"/>
          <w:szCs w:val="20"/>
          <w:shd w:val="clear" w:color="auto" w:fill="FFFFFF"/>
        </w:rPr>
      </w:pPr>
    </w:p>
    <w:p w:rsidR="00142D10" w:rsidRPr="007B2ADE" w:rsidRDefault="00142D10" w:rsidP="00142D10">
      <w:pPr>
        <w:autoSpaceDE w:val="0"/>
        <w:autoSpaceDN w:val="0"/>
        <w:adjustRightInd w:val="0"/>
        <w:spacing w:after="0"/>
        <w:jc w:val="both"/>
        <w:rPr>
          <w:rFonts w:ascii="Arial" w:hAnsi="Arial" w:cs="Arial"/>
          <w:color w:val="000000"/>
          <w:sz w:val="20"/>
          <w:szCs w:val="20"/>
          <w:shd w:val="clear" w:color="auto" w:fill="FFFFFF"/>
        </w:rPr>
      </w:pPr>
      <w:r w:rsidRPr="007B2ADE">
        <w:rPr>
          <w:rFonts w:ascii="Arial" w:hAnsi="Arial" w:cs="Arial"/>
          <w:color w:val="000000"/>
          <w:sz w:val="20"/>
          <w:szCs w:val="20"/>
          <w:shd w:val="clear" w:color="auto" w:fill="FFFFFF"/>
        </w:rPr>
        <w:t xml:space="preserve">Processo n° 280665/09 - </w:t>
      </w:r>
      <w:hyperlink r:id="rId18" w:history="1">
        <w:r w:rsidRPr="008716AD">
          <w:rPr>
            <w:rStyle w:val="Hyperlink"/>
            <w:rFonts w:ascii="Arial" w:hAnsi="Arial" w:cs="Arial"/>
            <w:sz w:val="20"/>
            <w:szCs w:val="20"/>
            <w:shd w:val="clear" w:color="auto" w:fill="FFFFFF"/>
          </w:rPr>
          <w:t xml:space="preserve">Acórdão n° 1249/17 </w:t>
        </w:r>
        <w:r w:rsidR="00F22AE0">
          <w:rPr>
            <w:rStyle w:val="Hyperlink"/>
            <w:rFonts w:ascii="Arial" w:hAnsi="Arial" w:cs="Arial"/>
            <w:sz w:val="20"/>
            <w:szCs w:val="20"/>
            <w:shd w:val="clear" w:color="auto" w:fill="FFFFFF"/>
          </w:rPr>
          <w:t>-</w:t>
        </w:r>
        <w:r w:rsidRPr="008716AD">
          <w:rPr>
            <w:rStyle w:val="Hyperlink"/>
            <w:rFonts w:ascii="Arial" w:hAnsi="Arial" w:cs="Arial"/>
            <w:sz w:val="20"/>
            <w:szCs w:val="20"/>
            <w:shd w:val="clear" w:color="auto" w:fill="FFFFFF"/>
          </w:rPr>
          <w:t xml:space="preserve"> Tribunal Pleno</w:t>
        </w:r>
      </w:hyperlink>
      <w:r w:rsidRPr="007B2ADE">
        <w:rPr>
          <w:rFonts w:ascii="Arial" w:hAnsi="Arial" w:cs="Arial"/>
          <w:color w:val="000000"/>
          <w:sz w:val="20"/>
          <w:szCs w:val="20"/>
          <w:shd w:val="clear" w:color="auto" w:fill="FFFFFF"/>
        </w:rPr>
        <w:t xml:space="preserve"> - Rel. Cons. </w:t>
      </w:r>
      <w:proofErr w:type="spellStart"/>
      <w:r w:rsidRPr="007B2ADE">
        <w:rPr>
          <w:rFonts w:ascii="Arial" w:hAnsi="Arial" w:cs="Arial"/>
          <w:color w:val="000000"/>
          <w:sz w:val="20"/>
          <w:szCs w:val="20"/>
          <w:shd w:val="clear" w:color="auto" w:fill="FFFFFF"/>
        </w:rPr>
        <w:t>Artagão</w:t>
      </w:r>
      <w:proofErr w:type="spellEnd"/>
      <w:r w:rsidRPr="007B2ADE">
        <w:rPr>
          <w:rFonts w:ascii="Arial" w:hAnsi="Arial" w:cs="Arial"/>
          <w:color w:val="000000"/>
          <w:sz w:val="20"/>
          <w:szCs w:val="20"/>
          <w:shd w:val="clear" w:color="auto" w:fill="FFFFFF"/>
        </w:rPr>
        <w:t xml:space="preserve"> de Mattos Leão.  </w:t>
      </w:r>
    </w:p>
    <w:p w:rsidR="00142D10" w:rsidRDefault="00142D10" w:rsidP="00142D10">
      <w:pPr>
        <w:autoSpaceDE w:val="0"/>
        <w:autoSpaceDN w:val="0"/>
        <w:adjustRightInd w:val="0"/>
        <w:spacing w:after="0"/>
        <w:jc w:val="both"/>
        <w:rPr>
          <w:rFonts w:ascii="Arial" w:hAnsi="Arial" w:cs="Arial"/>
          <w:color w:val="000000"/>
          <w:sz w:val="20"/>
          <w:szCs w:val="20"/>
          <w:shd w:val="clear" w:color="auto" w:fill="FFFFFF"/>
        </w:rPr>
      </w:pPr>
    </w:p>
    <w:p w:rsidR="00142D10" w:rsidRPr="001278B7" w:rsidRDefault="00E67390" w:rsidP="00142D10">
      <w:pPr>
        <w:autoSpaceDE w:val="0"/>
        <w:autoSpaceDN w:val="0"/>
        <w:adjustRightInd w:val="0"/>
        <w:spacing w:after="0"/>
        <w:jc w:val="both"/>
        <w:rPr>
          <w:rFonts w:ascii="Arial" w:hAnsi="Arial" w:cs="Arial"/>
          <w:b/>
          <w:color w:val="000000"/>
          <w:sz w:val="20"/>
          <w:szCs w:val="20"/>
          <w:shd w:val="clear" w:color="auto" w:fill="FFFFFF"/>
        </w:rPr>
      </w:pPr>
      <w:r>
        <w:rPr>
          <w:rFonts w:ascii="Arial" w:hAnsi="Arial" w:cs="Arial"/>
          <w:b/>
          <w:color w:val="000000"/>
          <w:sz w:val="20"/>
          <w:szCs w:val="20"/>
          <w:shd w:val="clear" w:color="auto" w:fill="FFFFFF"/>
        </w:rPr>
        <w:t xml:space="preserve">11. </w:t>
      </w:r>
      <w:r w:rsidR="00142D10" w:rsidRPr="001278B7">
        <w:rPr>
          <w:rFonts w:ascii="Arial" w:hAnsi="Arial" w:cs="Arial"/>
          <w:b/>
          <w:color w:val="000000"/>
          <w:sz w:val="20"/>
          <w:szCs w:val="20"/>
          <w:shd w:val="clear" w:color="auto" w:fill="FFFFFF"/>
        </w:rPr>
        <w:t>Denúncia. Cessão de imóvel público urbano. Autorização legislativa. Necessidade e requisitos.</w:t>
      </w:r>
    </w:p>
    <w:p w:rsidR="00CF0873" w:rsidRDefault="00CF0873" w:rsidP="00142D10">
      <w:pPr>
        <w:autoSpaceDE w:val="0"/>
        <w:autoSpaceDN w:val="0"/>
        <w:adjustRightInd w:val="0"/>
        <w:spacing w:after="0"/>
        <w:jc w:val="both"/>
        <w:rPr>
          <w:rFonts w:ascii="Arial" w:hAnsi="Arial" w:cs="Arial"/>
          <w:color w:val="000000"/>
          <w:sz w:val="20"/>
          <w:szCs w:val="20"/>
          <w:shd w:val="clear" w:color="auto" w:fill="FFFFFF"/>
        </w:rPr>
      </w:pPr>
    </w:p>
    <w:p w:rsidR="00142D10" w:rsidRDefault="00142D10" w:rsidP="00142D10">
      <w:pPr>
        <w:autoSpaceDE w:val="0"/>
        <w:autoSpaceDN w:val="0"/>
        <w:adjustRightInd w:val="0"/>
        <w:spacing w:after="0"/>
        <w:jc w:val="both"/>
        <w:rPr>
          <w:rFonts w:ascii="Arial" w:hAnsi="Arial" w:cs="Arial"/>
          <w:color w:val="000000"/>
          <w:sz w:val="20"/>
          <w:szCs w:val="20"/>
          <w:shd w:val="clear" w:color="auto" w:fill="FFFFFF"/>
        </w:rPr>
      </w:pPr>
      <w:r w:rsidRPr="00F55E8F">
        <w:rPr>
          <w:rFonts w:ascii="Arial" w:hAnsi="Arial" w:cs="Arial"/>
          <w:color w:val="000000"/>
          <w:sz w:val="20"/>
          <w:szCs w:val="20"/>
          <w:shd w:val="clear" w:color="auto" w:fill="FFFFFF"/>
        </w:rPr>
        <w:t xml:space="preserve">A cessão de uso de bem imóvel público urbano, com encargos, à entidade privada exige autorização legislativa específica. Essa autorização </w:t>
      </w:r>
      <w:r>
        <w:rPr>
          <w:rFonts w:ascii="Arial" w:hAnsi="Arial" w:cs="Arial"/>
          <w:color w:val="000000"/>
          <w:sz w:val="20"/>
          <w:szCs w:val="20"/>
          <w:shd w:val="clear" w:color="auto" w:fill="FFFFFF"/>
        </w:rPr>
        <w:t>consiste na aprovação, pelo</w:t>
      </w:r>
      <w:r w:rsidRPr="00F55E8F">
        <w:rPr>
          <w:rFonts w:ascii="Arial" w:hAnsi="Arial" w:cs="Arial"/>
          <w:color w:val="000000"/>
          <w:sz w:val="20"/>
          <w:szCs w:val="20"/>
          <w:shd w:val="clear" w:color="auto" w:fill="FFFFFF"/>
        </w:rPr>
        <w:t xml:space="preserve"> Poder legislativo, d</w:t>
      </w:r>
      <w:r>
        <w:rPr>
          <w:rFonts w:ascii="Arial" w:hAnsi="Arial" w:cs="Arial"/>
          <w:color w:val="000000"/>
          <w:sz w:val="20"/>
          <w:szCs w:val="20"/>
          <w:shd w:val="clear" w:color="auto" w:fill="FFFFFF"/>
        </w:rPr>
        <w:t>e</w:t>
      </w:r>
      <w:r w:rsidRPr="00F55E8F">
        <w:rPr>
          <w:rFonts w:ascii="Arial" w:hAnsi="Arial" w:cs="Arial"/>
          <w:color w:val="000000"/>
          <w:sz w:val="20"/>
          <w:szCs w:val="20"/>
          <w:shd w:val="clear" w:color="auto" w:fill="FFFFFF"/>
        </w:rPr>
        <w:t xml:space="preserve"> projeto de lei encaminhado pelo Poder Executivo, no qual deve necessariamente conter: completa identificação do imóvel a ser cedido; informações do favorecido; definição da utilidade a ser dada ao imóvel; deveres do favorecido; designação do órgão público responsável pela fiscalização e da </w:t>
      </w:r>
      <w:proofErr w:type="gramStart"/>
      <w:r w:rsidRPr="00F55E8F">
        <w:rPr>
          <w:rFonts w:ascii="Arial" w:hAnsi="Arial" w:cs="Arial"/>
          <w:color w:val="000000"/>
          <w:sz w:val="20"/>
          <w:szCs w:val="20"/>
          <w:shd w:val="clear" w:color="auto" w:fill="FFFFFF"/>
        </w:rPr>
        <w:t>implementação</w:t>
      </w:r>
      <w:proofErr w:type="gramEnd"/>
      <w:r w:rsidRPr="00F55E8F">
        <w:rPr>
          <w:rFonts w:ascii="Arial" w:hAnsi="Arial" w:cs="Arial"/>
          <w:color w:val="000000"/>
          <w:sz w:val="20"/>
          <w:szCs w:val="20"/>
          <w:shd w:val="clear" w:color="auto" w:fill="FFFFFF"/>
        </w:rPr>
        <w:t xml:space="preserve"> das obrigações; </w:t>
      </w:r>
      <w:r>
        <w:rPr>
          <w:rFonts w:ascii="Arial" w:hAnsi="Arial" w:cs="Arial"/>
          <w:color w:val="000000"/>
          <w:sz w:val="20"/>
          <w:szCs w:val="20"/>
          <w:shd w:val="clear" w:color="auto" w:fill="FFFFFF"/>
        </w:rPr>
        <w:t xml:space="preserve">e </w:t>
      </w:r>
      <w:r w:rsidRPr="00F55E8F">
        <w:rPr>
          <w:rFonts w:ascii="Arial" w:hAnsi="Arial" w:cs="Arial"/>
          <w:color w:val="000000"/>
          <w:sz w:val="20"/>
          <w:szCs w:val="20"/>
          <w:shd w:val="clear" w:color="auto" w:fill="FFFFFF"/>
        </w:rPr>
        <w:t>indicação das hipóteses de restituição da posse do imóvel.</w:t>
      </w:r>
    </w:p>
    <w:p w:rsidR="00142D10" w:rsidRDefault="00142D10" w:rsidP="00142D10">
      <w:pPr>
        <w:autoSpaceDE w:val="0"/>
        <w:autoSpaceDN w:val="0"/>
        <w:adjustRightInd w:val="0"/>
        <w:spacing w:after="0"/>
        <w:jc w:val="both"/>
        <w:rPr>
          <w:rFonts w:ascii="Arial" w:hAnsi="Arial" w:cs="Arial"/>
          <w:color w:val="000000"/>
          <w:sz w:val="20"/>
          <w:szCs w:val="20"/>
          <w:shd w:val="clear" w:color="auto" w:fill="FFFFFF"/>
        </w:rPr>
      </w:pPr>
    </w:p>
    <w:p w:rsidR="00142D10" w:rsidRPr="007B2ADE" w:rsidRDefault="00142D10" w:rsidP="00142D10">
      <w:pPr>
        <w:autoSpaceDE w:val="0"/>
        <w:autoSpaceDN w:val="0"/>
        <w:adjustRightInd w:val="0"/>
        <w:spacing w:after="0"/>
        <w:jc w:val="both"/>
        <w:rPr>
          <w:rFonts w:ascii="Arial" w:hAnsi="Arial" w:cs="Arial"/>
          <w:color w:val="000000"/>
          <w:sz w:val="20"/>
          <w:szCs w:val="20"/>
          <w:shd w:val="clear" w:color="auto" w:fill="FFFFFF"/>
        </w:rPr>
      </w:pPr>
      <w:r w:rsidRPr="007B2ADE">
        <w:rPr>
          <w:rFonts w:ascii="Arial" w:hAnsi="Arial" w:cs="Arial"/>
          <w:color w:val="000000"/>
          <w:sz w:val="20"/>
          <w:szCs w:val="20"/>
          <w:shd w:val="clear" w:color="auto" w:fill="FFFFFF"/>
        </w:rPr>
        <w:t xml:space="preserve">Processo n° </w:t>
      </w:r>
      <w:r w:rsidR="00540B8E" w:rsidRPr="00540B8E">
        <w:rPr>
          <w:rFonts w:ascii="Arial" w:hAnsi="Arial" w:cs="Arial"/>
          <w:color w:val="000000"/>
          <w:sz w:val="20"/>
          <w:szCs w:val="20"/>
          <w:shd w:val="clear" w:color="auto" w:fill="FFFFFF"/>
        </w:rPr>
        <w:t>437096/11</w:t>
      </w:r>
      <w:r w:rsidRPr="007B2ADE">
        <w:rPr>
          <w:rFonts w:ascii="Arial" w:hAnsi="Arial" w:cs="Arial"/>
          <w:color w:val="000000"/>
          <w:sz w:val="20"/>
          <w:szCs w:val="20"/>
          <w:shd w:val="clear" w:color="auto" w:fill="FFFFFF"/>
        </w:rPr>
        <w:t xml:space="preserve"> - </w:t>
      </w:r>
      <w:hyperlink r:id="rId19" w:history="1">
        <w:r w:rsidRPr="001278B7">
          <w:rPr>
            <w:rStyle w:val="Hyperlink"/>
            <w:rFonts w:ascii="Arial" w:hAnsi="Arial" w:cs="Arial"/>
            <w:sz w:val="20"/>
            <w:szCs w:val="20"/>
            <w:shd w:val="clear" w:color="auto" w:fill="FFFFFF"/>
          </w:rPr>
          <w:t xml:space="preserve">Acórdão n° 1244/17 </w:t>
        </w:r>
        <w:r w:rsidR="00F22AE0">
          <w:rPr>
            <w:rStyle w:val="Hyperlink"/>
            <w:rFonts w:ascii="Arial" w:hAnsi="Arial" w:cs="Arial"/>
            <w:sz w:val="20"/>
            <w:szCs w:val="20"/>
            <w:shd w:val="clear" w:color="auto" w:fill="FFFFFF"/>
          </w:rPr>
          <w:t>-</w:t>
        </w:r>
        <w:r w:rsidRPr="001278B7">
          <w:rPr>
            <w:rStyle w:val="Hyperlink"/>
            <w:rFonts w:ascii="Arial" w:hAnsi="Arial" w:cs="Arial"/>
            <w:sz w:val="20"/>
            <w:szCs w:val="20"/>
            <w:shd w:val="clear" w:color="auto" w:fill="FFFFFF"/>
          </w:rPr>
          <w:t xml:space="preserve"> Tribunal Pleno</w:t>
        </w:r>
      </w:hyperlink>
      <w:r w:rsidRPr="007B2ADE">
        <w:rPr>
          <w:rFonts w:ascii="Arial" w:hAnsi="Arial" w:cs="Arial"/>
          <w:color w:val="000000"/>
          <w:sz w:val="20"/>
          <w:szCs w:val="20"/>
          <w:shd w:val="clear" w:color="auto" w:fill="FFFFFF"/>
        </w:rPr>
        <w:t xml:space="preserve"> - Rel. Cons</w:t>
      </w:r>
      <w:r w:rsidR="00F22AE0">
        <w:rPr>
          <w:rFonts w:ascii="Arial" w:hAnsi="Arial" w:cs="Arial"/>
          <w:color w:val="000000"/>
          <w:sz w:val="20"/>
          <w:szCs w:val="20"/>
          <w:shd w:val="clear" w:color="auto" w:fill="FFFFFF"/>
        </w:rPr>
        <w:t xml:space="preserve">elheiro </w:t>
      </w:r>
      <w:r w:rsidRPr="00137D91">
        <w:rPr>
          <w:rFonts w:ascii="Arial" w:hAnsi="Arial" w:cs="Arial"/>
          <w:color w:val="000000"/>
          <w:sz w:val="20"/>
          <w:szCs w:val="20"/>
          <w:shd w:val="clear" w:color="auto" w:fill="FFFFFF"/>
        </w:rPr>
        <w:t>Nestor Baptista.</w:t>
      </w:r>
    </w:p>
    <w:p w:rsidR="00142D10" w:rsidRDefault="00142D10" w:rsidP="00142D10">
      <w:pPr>
        <w:autoSpaceDE w:val="0"/>
        <w:autoSpaceDN w:val="0"/>
        <w:adjustRightInd w:val="0"/>
        <w:spacing w:after="0" w:line="240" w:lineRule="auto"/>
        <w:jc w:val="both"/>
        <w:rPr>
          <w:rFonts w:ascii="Arial" w:hAnsi="Arial" w:cs="Arial"/>
          <w:sz w:val="20"/>
          <w:szCs w:val="20"/>
        </w:rPr>
      </w:pPr>
    </w:p>
    <w:p w:rsidR="00E8762F" w:rsidRPr="00AA3A41" w:rsidRDefault="00E8762F" w:rsidP="00F46C32">
      <w:pPr>
        <w:autoSpaceDE w:val="0"/>
        <w:autoSpaceDN w:val="0"/>
        <w:adjustRightInd w:val="0"/>
        <w:spacing w:after="0" w:line="240" w:lineRule="auto"/>
        <w:jc w:val="both"/>
        <w:rPr>
          <w:rFonts w:ascii="Arial" w:hAnsi="Arial" w:cs="Arial"/>
          <w:sz w:val="20"/>
          <w:szCs w:val="20"/>
        </w:rPr>
      </w:pPr>
      <w:r w:rsidRPr="00AA3A41">
        <w:rPr>
          <w:rFonts w:ascii="Arial" w:hAnsi="Arial" w:cs="Arial"/>
          <w:sz w:val="20"/>
          <w:szCs w:val="20"/>
        </w:rPr>
        <w:t xml:space="preserve">Observações: </w:t>
      </w:r>
    </w:p>
    <w:p w:rsidR="005C4DB7" w:rsidRDefault="00E4415D" w:rsidP="00E8762F">
      <w:pPr>
        <w:rPr>
          <w:rFonts w:ascii="Arial" w:hAnsi="Arial" w:cs="Arial"/>
          <w:b/>
          <w:color w:val="000000"/>
          <w:sz w:val="20"/>
          <w:szCs w:val="20"/>
        </w:rPr>
      </w:pPr>
      <w:r w:rsidRPr="005C4DB7">
        <w:rPr>
          <w:rFonts w:ascii="Arial" w:hAnsi="Arial" w:cs="Arial"/>
          <w:noProof/>
          <w:sz w:val="20"/>
          <w:szCs w:val="20"/>
          <w:lang w:eastAsia="pt-BR"/>
        </w:rPr>
        <mc:AlternateContent>
          <mc:Choice Requires="wps">
            <w:drawing>
              <wp:anchor distT="0" distB="0" distL="114300" distR="114300" simplePos="0" relativeHeight="251665408" behindDoc="0" locked="0" layoutInCell="1" allowOverlap="1" wp14:anchorId="15D64EE6" wp14:editId="599D7F15">
                <wp:simplePos x="0" y="0"/>
                <wp:positionH relativeFrom="margin">
                  <wp:posOffset>-6985</wp:posOffset>
                </wp:positionH>
                <wp:positionV relativeFrom="paragraph">
                  <wp:posOffset>73660</wp:posOffset>
                </wp:positionV>
                <wp:extent cx="5499100" cy="0"/>
                <wp:effectExtent l="0" t="0" r="25400" b="57150"/>
                <wp:wrapNone/>
                <wp:docPr id="58" name="Conector reto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58"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" strokecolor="black [3200]" strokeweight="2pt">
                <v:shadow on="t" color="black" opacity="24903f" origin=",.5" offset="0,.55556mm"/>
                <w10:wrap anchorx="margin"/>
              </v:line>
            </w:pict>
          </mc:Fallback>
        </mc:AlternateContent>
      </w:r>
    </w:p>
    <w:p w:rsidR="0026477F" w:rsidRDefault="0026477F" w:rsidP="00601974">
      <w:pPr>
        <w:spacing w:after="0"/>
        <w:rPr>
          <w:rFonts w:ascii="Arial" w:hAnsi="Arial" w:cs="Arial"/>
          <w:color w:val="000000"/>
          <w:sz w:val="20"/>
          <w:szCs w:val="20"/>
        </w:rPr>
      </w:pPr>
      <w:r w:rsidRPr="00AD528F">
        <w:rPr>
          <w:rFonts w:ascii="Arial" w:hAnsi="Arial" w:cs="Arial"/>
          <w:color w:val="000000"/>
          <w:sz w:val="20"/>
          <w:szCs w:val="20"/>
        </w:rPr>
        <w:t>Ju</w:t>
      </w:r>
      <w:r w:rsidR="00AD528F" w:rsidRPr="00AD528F">
        <w:rPr>
          <w:rFonts w:ascii="Arial" w:hAnsi="Arial" w:cs="Arial"/>
          <w:color w:val="000000"/>
          <w:sz w:val="20"/>
          <w:szCs w:val="20"/>
        </w:rPr>
        <w:t xml:space="preserve">risprudência Selecionada: </w:t>
      </w:r>
    </w:p>
    <w:p w:rsidR="00601974" w:rsidRDefault="00601974" w:rsidP="00601974">
      <w:pPr>
        <w:spacing w:after="0"/>
        <w:rPr>
          <w:rFonts w:ascii="Arial" w:hAnsi="Arial" w:cs="Arial"/>
          <w:b/>
          <w:color w:val="000000"/>
          <w:sz w:val="20"/>
          <w:szCs w:val="20"/>
        </w:rPr>
      </w:pPr>
    </w:p>
    <w:p w:rsidR="006645D9" w:rsidRDefault="006645D9" w:rsidP="00601974">
      <w:pPr>
        <w:spacing w:after="0"/>
        <w:rPr>
          <w:rFonts w:ascii="Arial" w:hAnsi="Arial" w:cs="Arial"/>
          <w:b/>
          <w:color w:val="000000"/>
          <w:sz w:val="20"/>
          <w:szCs w:val="20"/>
        </w:rPr>
      </w:pPr>
      <w:r>
        <w:rPr>
          <w:rFonts w:ascii="Arial" w:hAnsi="Arial" w:cs="Arial"/>
          <w:b/>
          <w:color w:val="000000"/>
          <w:sz w:val="20"/>
          <w:szCs w:val="20"/>
        </w:rPr>
        <w:t>Supremo Tribunal Federal:</w:t>
      </w:r>
    </w:p>
    <w:p w:rsidR="006645D9" w:rsidRDefault="006645D9" w:rsidP="00601974">
      <w:pPr>
        <w:spacing w:after="0"/>
        <w:rPr>
          <w:rFonts w:ascii="Arial" w:hAnsi="Arial" w:cs="Arial"/>
          <w:b/>
          <w:color w:val="000000"/>
          <w:sz w:val="20"/>
          <w:szCs w:val="20"/>
        </w:rPr>
      </w:pPr>
    </w:p>
    <w:p w:rsidR="008561BF" w:rsidRDefault="00F23896" w:rsidP="004B44C1">
      <w:pPr>
        <w:spacing w:after="0"/>
        <w:jc w:val="both"/>
        <w:rPr>
          <w:rFonts w:ascii="Arial" w:hAnsi="Arial" w:cs="Arial"/>
          <w:color w:val="000000"/>
          <w:sz w:val="20"/>
          <w:szCs w:val="20"/>
        </w:rPr>
      </w:pPr>
      <w:hyperlink r:id="rId20" w:history="1">
        <w:r w:rsidR="004B44C1" w:rsidRPr="00492E16">
          <w:rPr>
            <w:rStyle w:val="Hyperlink"/>
            <w:rFonts w:ascii="Arial" w:hAnsi="Arial" w:cs="Arial"/>
            <w:b/>
            <w:sz w:val="20"/>
            <w:szCs w:val="20"/>
          </w:rPr>
          <w:t>M</w:t>
        </w:r>
        <w:r w:rsidR="008561BF" w:rsidRPr="00492E16">
          <w:rPr>
            <w:rStyle w:val="Hyperlink"/>
            <w:rFonts w:ascii="Arial" w:hAnsi="Arial" w:cs="Arial"/>
            <w:b/>
            <w:sz w:val="20"/>
            <w:szCs w:val="20"/>
          </w:rPr>
          <w:t>andado de Segurança (MS)</w:t>
        </w:r>
        <w:r w:rsidR="0026729F" w:rsidRPr="00492E16">
          <w:rPr>
            <w:rStyle w:val="Hyperlink"/>
            <w:rFonts w:ascii="Arial" w:hAnsi="Arial" w:cs="Arial"/>
            <w:b/>
            <w:sz w:val="20"/>
            <w:szCs w:val="20"/>
          </w:rPr>
          <w:t xml:space="preserve"> n</w:t>
        </w:r>
        <w:r w:rsidR="008561BF" w:rsidRPr="00492E16">
          <w:rPr>
            <w:rStyle w:val="Hyperlink"/>
            <w:rFonts w:ascii="Arial" w:hAnsi="Arial" w:cs="Arial"/>
            <w:b/>
            <w:sz w:val="20"/>
            <w:szCs w:val="20"/>
          </w:rPr>
          <w:t xml:space="preserve">° </w:t>
        </w:r>
        <w:r w:rsidR="004B44C1" w:rsidRPr="00492E16">
          <w:rPr>
            <w:rStyle w:val="Hyperlink"/>
            <w:rFonts w:ascii="Arial" w:hAnsi="Arial" w:cs="Arial"/>
            <w:b/>
            <w:sz w:val="20"/>
            <w:szCs w:val="20"/>
          </w:rPr>
          <w:t>25097</w:t>
        </w:r>
        <w:r w:rsidR="0026729F" w:rsidRPr="00492E16">
          <w:rPr>
            <w:rStyle w:val="Hyperlink"/>
            <w:rFonts w:ascii="Arial" w:hAnsi="Arial" w:cs="Arial"/>
            <w:b/>
            <w:sz w:val="20"/>
            <w:szCs w:val="20"/>
          </w:rPr>
          <w:t>-DF</w:t>
        </w:r>
        <w:r w:rsidR="004B44C1" w:rsidRPr="00944802">
          <w:rPr>
            <w:rStyle w:val="Hyperlink"/>
            <w:rFonts w:ascii="Arial" w:hAnsi="Arial" w:cs="Arial"/>
            <w:b/>
            <w:sz w:val="20"/>
            <w:szCs w:val="20"/>
            <w:u w:val="none"/>
          </w:rPr>
          <w:t xml:space="preserve"> </w:t>
        </w:r>
      </w:hyperlink>
      <w:r w:rsidR="004B44C1" w:rsidRPr="004B44C1">
        <w:rPr>
          <w:rFonts w:ascii="Arial" w:hAnsi="Arial" w:cs="Arial"/>
          <w:color w:val="000000"/>
          <w:sz w:val="20"/>
          <w:szCs w:val="20"/>
        </w:rPr>
        <w:t>(Relator Ministro Gilmar Mendes)</w:t>
      </w:r>
    </w:p>
    <w:p w:rsidR="004B44C1" w:rsidRPr="004B44C1" w:rsidRDefault="004B44C1" w:rsidP="004B44C1">
      <w:pPr>
        <w:spacing w:after="0"/>
        <w:jc w:val="both"/>
        <w:rPr>
          <w:rFonts w:ascii="Arial" w:hAnsi="Arial" w:cs="Arial"/>
          <w:color w:val="000000"/>
          <w:sz w:val="20"/>
          <w:szCs w:val="20"/>
        </w:rPr>
      </w:pPr>
      <w:r w:rsidRPr="004B44C1">
        <w:rPr>
          <w:rFonts w:ascii="Arial" w:hAnsi="Arial" w:cs="Arial"/>
          <w:color w:val="000000"/>
          <w:sz w:val="20"/>
          <w:szCs w:val="20"/>
        </w:rPr>
        <w:t xml:space="preserve"> </w:t>
      </w:r>
    </w:p>
    <w:p w:rsidR="004B44C1" w:rsidRPr="004B44C1" w:rsidRDefault="004B44C1" w:rsidP="0026729F">
      <w:pPr>
        <w:spacing w:after="0"/>
        <w:jc w:val="both"/>
        <w:rPr>
          <w:rFonts w:ascii="Arial" w:hAnsi="Arial" w:cs="Arial"/>
          <w:b/>
          <w:color w:val="000000"/>
          <w:sz w:val="20"/>
          <w:szCs w:val="20"/>
        </w:rPr>
      </w:pPr>
      <w:r w:rsidRPr="004B44C1">
        <w:rPr>
          <w:rFonts w:ascii="Arial" w:hAnsi="Arial" w:cs="Arial"/>
          <w:b/>
          <w:color w:val="000000"/>
          <w:sz w:val="20"/>
          <w:szCs w:val="20"/>
        </w:rPr>
        <w:t xml:space="preserve">Cumulação de proventos, pensões e cargos públicos </w:t>
      </w:r>
      <w:proofErr w:type="spellStart"/>
      <w:r w:rsidRPr="004B44C1">
        <w:rPr>
          <w:rFonts w:ascii="Arial" w:hAnsi="Arial" w:cs="Arial"/>
          <w:b/>
          <w:color w:val="000000"/>
          <w:sz w:val="20"/>
          <w:szCs w:val="20"/>
        </w:rPr>
        <w:t>inacumuláveis</w:t>
      </w:r>
      <w:proofErr w:type="spellEnd"/>
      <w:r w:rsidRPr="004B44C1">
        <w:rPr>
          <w:rFonts w:ascii="Arial" w:hAnsi="Arial" w:cs="Arial"/>
          <w:b/>
          <w:color w:val="000000"/>
          <w:sz w:val="20"/>
          <w:szCs w:val="20"/>
        </w:rPr>
        <w:t xml:space="preserve"> em atividade. Obrigatoriedade da observância do princípio da segurança jurídica diante de medidas </w:t>
      </w:r>
      <w:r w:rsidRPr="004B44C1">
        <w:rPr>
          <w:rFonts w:ascii="Arial" w:hAnsi="Arial" w:cs="Arial"/>
          <w:b/>
          <w:color w:val="000000"/>
          <w:sz w:val="20"/>
          <w:szCs w:val="20"/>
        </w:rPr>
        <w:lastRenderedPageBreak/>
        <w:t xml:space="preserve">liminares em processos cujos méritos são definitivamente julgados depois de passados muitos anos. </w:t>
      </w:r>
    </w:p>
    <w:p w:rsidR="004B44C1" w:rsidRDefault="004B44C1" w:rsidP="0026729F">
      <w:pPr>
        <w:spacing w:after="0"/>
        <w:jc w:val="both"/>
        <w:rPr>
          <w:rFonts w:ascii="Arial" w:hAnsi="Arial" w:cs="Arial"/>
          <w:color w:val="000000"/>
          <w:sz w:val="20"/>
          <w:szCs w:val="20"/>
        </w:rPr>
      </w:pPr>
      <w:r w:rsidRPr="004B44C1">
        <w:rPr>
          <w:rFonts w:ascii="Arial" w:hAnsi="Arial" w:cs="Arial"/>
          <w:color w:val="000000"/>
          <w:sz w:val="20"/>
          <w:szCs w:val="20"/>
        </w:rPr>
        <w:t xml:space="preserve">Beneficiária que recebe duas pensões em decorrência de aposentadorias de seu falecido marido, servidor público civil aposentado pelo SNI e militar reformado do Exército não pode ver retirado o direito à percepção de ambos os benefícios; liminar concedida em ação mandamental impetrada há mais de doze anos, impõe que se encontre solução alternativa que leve em consideração a eficiência processual e a primazia da decisão de mérito, normas fundamentais já incorporadas na estrutura do novo CPC. </w:t>
      </w:r>
    </w:p>
    <w:p w:rsidR="003E110D" w:rsidRPr="004B44C1" w:rsidRDefault="003E110D" w:rsidP="0026729F">
      <w:pPr>
        <w:spacing w:after="0"/>
        <w:jc w:val="both"/>
        <w:rPr>
          <w:rFonts w:ascii="Arial" w:hAnsi="Arial" w:cs="Arial"/>
          <w:color w:val="000000"/>
          <w:sz w:val="20"/>
          <w:szCs w:val="20"/>
        </w:rPr>
      </w:pPr>
    </w:p>
    <w:p w:rsidR="004B44C1" w:rsidRDefault="004B44C1" w:rsidP="0026729F">
      <w:pPr>
        <w:spacing w:after="0"/>
        <w:jc w:val="both"/>
        <w:rPr>
          <w:rFonts w:ascii="Arial" w:hAnsi="Arial" w:cs="Arial"/>
          <w:color w:val="000000"/>
          <w:sz w:val="20"/>
          <w:szCs w:val="20"/>
        </w:rPr>
      </w:pPr>
      <w:r w:rsidRPr="004B44C1">
        <w:rPr>
          <w:rFonts w:ascii="Arial" w:hAnsi="Arial" w:cs="Arial"/>
          <w:color w:val="000000"/>
          <w:sz w:val="20"/>
          <w:szCs w:val="20"/>
        </w:rPr>
        <w:t xml:space="preserve">A EC nº 20/98 vedou expressamente a concessão de mais de uma aposentadoria pelo regime de previdência dos servidores </w:t>
      </w:r>
      <w:proofErr w:type="gramStart"/>
      <w:r w:rsidRPr="004B44C1">
        <w:rPr>
          <w:rFonts w:ascii="Arial" w:hAnsi="Arial" w:cs="Arial"/>
          <w:color w:val="000000"/>
          <w:sz w:val="20"/>
          <w:szCs w:val="20"/>
        </w:rPr>
        <w:t>civis previsto</w:t>
      </w:r>
      <w:proofErr w:type="gramEnd"/>
      <w:r w:rsidRPr="004B44C1">
        <w:rPr>
          <w:rFonts w:ascii="Arial" w:hAnsi="Arial" w:cs="Arial"/>
          <w:color w:val="000000"/>
          <w:sz w:val="20"/>
          <w:szCs w:val="20"/>
        </w:rPr>
        <w:t xml:space="preserve"> no art. 40 da CF. No entanto, não há qualquer referência à concessão de proventos militares, os quais são tratados nos </w:t>
      </w:r>
      <w:proofErr w:type="spellStart"/>
      <w:r w:rsidRPr="004B44C1">
        <w:rPr>
          <w:rFonts w:ascii="Arial" w:hAnsi="Arial" w:cs="Arial"/>
          <w:color w:val="000000"/>
          <w:sz w:val="20"/>
          <w:szCs w:val="20"/>
        </w:rPr>
        <w:t>arts</w:t>
      </w:r>
      <w:proofErr w:type="spellEnd"/>
      <w:r w:rsidRPr="004B44C1">
        <w:rPr>
          <w:rFonts w:ascii="Arial" w:hAnsi="Arial" w:cs="Arial"/>
          <w:color w:val="000000"/>
          <w:sz w:val="20"/>
          <w:szCs w:val="20"/>
        </w:rPr>
        <w:t xml:space="preserve">. 42 e 142 do texto constitucional. </w:t>
      </w:r>
    </w:p>
    <w:p w:rsidR="003E110D" w:rsidRPr="004B44C1" w:rsidRDefault="003E110D" w:rsidP="0026729F">
      <w:pPr>
        <w:spacing w:after="0"/>
        <w:jc w:val="both"/>
        <w:rPr>
          <w:rFonts w:ascii="Arial" w:hAnsi="Arial" w:cs="Arial"/>
          <w:color w:val="000000"/>
          <w:sz w:val="20"/>
          <w:szCs w:val="20"/>
        </w:rPr>
      </w:pPr>
    </w:p>
    <w:p w:rsidR="004B44C1" w:rsidRDefault="004B44C1" w:rsidP="0026729F">
      <w:pPr>
        <w:spacing w:after="0"/>
        <w:jc w:val="both"/>
        <w:rPr>
          <w:rFonts w:ascii="Arial" w:hAnsi="Arial" w:cs="Arial"/>
          <w:color w:val="000000"/>
          <w:sz w:val="20"/>
          <w:szCs w:val="20"/>
        </w:rPr>
      </w:pPr>
      <w:r w:rsidRPr="004B44C1">
        <w:rPr>
          <w:rFonts w:ascii="Arial" w:hAnsi="Arial" w:cs="Arial"/>
          <w:color w:val="000000"/>
          <w:sz w:val="20"/>
          <w:szCs w:val="20"/>
        </w:rPr>
        <w:t>Por cumular a percepção de pensão civil com pensão militar, a impetrante está enquadrada em situação não alcançada pela proibição da referida emenda.</w:t>
      </w:r>
      <w:r>
        <w:rPr>
          <w:rFonts w:ascii="Arial" w:hAnsi="Arial" w:cs="Arial"/>
          <w:color w:val="000000"/>
          <w:sz w:val="20"/>
          <w:szCs w:val="20"/>
        </w:rPr>
        <w:t xml:space="preserve"> </w:t>
      </w:r>
    </w:p>
    <w:p w:rsidR="006645D9" w:rsidRDefault="006645D9" w:rsidP="00601974">
      <w:pPr>
        <w:spacing w:after="0"/>
        <w:rPr>
          <w:rFonts w:ascii="Arial" w:hAnsi="Arial" w:cs="Arial"/>
          <w:b/>
          <w:color w:val="000000"/>
          <w:sz w:val="20"/>
          <w:szCs w:val="20"/>
        </w:rPr>
      </w:pPr>
    </w:p>
    <w:p w:rsidR="006645D9" w:rsidRDefault="006645D9" w:rsidP="00601974">
      <w:pPr>
        <w:spacing w:after="0"/>
        <w:rPr>
          <w:rFonts w:ascii="Arial" w:hAnsi="Arial" w:cs="Arial"/>
          <w:b/>
          <w:color w:val="000000"/>
          <w:sz w:val="20"/>
          <w:szCs w:val="20"/>
        </w:rPr>
      </w:pPr>
      <w:r>
        <w:rPr>
          <w:rFonts w:ascii="Arial" w:hAnsi="Arial" w:cs="Arial"/>
          <w:b/>
          <w:color w:val="000000"/>
          <w:sz w:val="20"/>
          <w:szCs w:val="20"/>
        </w:rPr>
        <w:t>Superior Tribunal de Justiça:</w:t>
      </w:r>
    </w:p>
    <w:p w:rsidR="006645D9" w:rsidRDefault="006645D9" w:rsidP="00601974">
      <w:pPr>
        <w:spacing w:after="0"/>
        <w:rPr>
          <w:rFonts w:ascii="Arial" w:hAnsi="Arial" w:cs="Arial"/>
          <w:b/>
          <w:color w:val="000000"/>
          <w:sz w:val="20"/>
          <w:szCs w:val="20"/>
        </w:rPr>
      </w:pPr>
    </w:p>
    <w:p w:rsidR="0026729F" w:rsidRPr="00B32C71" w:rsidRDefault="00F23896" w:rsidP="00B32C71">
      <w:pPr>
        <w:jc w:val="both"/>
        <w:rPr>
          <w:rFonts w:ascii="Arial" w:hAnsi="Arial" w:cs="Arial"/>
          <w:color w:val="000000"/>
          <w:sz w:val="20"/>
          <w:szCs w:val="20"/>
        </w:rPr>
      </w:pPr>
      <w:hyperlink r:id="rId21" w:history="1">
        <w:r w:rsidR="0026729F" w:rsidRPr="00492E16">
          <w:rPr>
            <w:rStyle w:val="Hyperlink"/>
            <w:rFonts w:ascii="Arial" w:hAnsi="Arial" w:cs="Arial"/>
            <w:b/>
            <w:sz w:val="20"/>
            <w:szCs w:val="20"/>
          </w:rPr>
          <w:t>Mandado de Segurança (MS) n° 21</w:t>
        </w:r>
        <w:r w:rsidR="00492E16" w:rsidRPr="00492E16">
          <w:rPr>
            <w:rStyle w:val="Hyperlink"/>
            <w:rFonts w:ascii="Arial" w:hAnsi="Arial" w:cs="Arial"/>
            <w:b/>
            <w:sz w:val="20"/>
            <w:szCs w:val="20"/>
          </w:rPr>
          <w:t>.</w:t>
        </w:r>
        <w:r w:rsidR="0026729F" w:rsidRPr="00492E16">
          <w:rPr>
            <w:rStyle w:val="Hyperlink"/>
            <w:rFonts w:ascii="Arial" w:hAnsi="Arial" w:cs="Arial"/>
            <w:b/>
            <w:sz w:val="20"/>
            <w:szCs w:val="20"/>
          </w:rPr>
          <w:t>991-DF</w:t>
        </w:r>
      </w:hyperlink>
      <w:r w:rsidR="0026729F">
        <w:rPr>
          <w:rFonts w:ascii="Arial" w:hAnsi="Arial" w:cs="Arial"/>
          <w:b/>
          <w:color w:val="000000"/>
          <w:sz w:val="20"/>
          <w:szCs w:val="20"/>
        </w:rPr>
        <w:t xml:space="preserve"> </w:t>
      </w:r>
      <w:r w:rsidR="0026729F" w:rsidRPr="00B32C71">
        <w:rPr>
          <w:rFonts w:ascii="Arial" w:hAnsi="Arial" w:cs="Arial"/>
          <w:color w:val="000000"/>
          <w:sz w:val="20"/>
          <w:szCs w:val="20"/>
        </w:rPr>
        <w:t>(Relator Ministro Humberto Martins</w:t>
      </w:r>
      <w:r w:rsidR="00FE3CE2" w:rsidRPr="00B32C71">
        <w:rPr>
          <w:rFonts w:ascii="Arial" w:hAnsi="Arial" w:cs="Arial"/>
          <w:color w:val="000000"/>
          <w:sz w:val="20"/>
          <w:szCs w:val="20"/>
        </w:rPr>
        <w:t>, Rel. para acórdão Min. João Otávio de Noronha</w:t>
      </w:r>
      <w:proofErr w:type="gramStart"/>
      <w:r w:rsidR="0026729F" w:rsidRPr="00B32C71">
        <w:rPr>
          <w:rFonts w:ascii="Arial" w:hAnsi="Arial" w:cs="Arial"/>
          <w:color w:val="000000"/>
          <w:sz w:val="20"/>
          <w:szCs w:val="20"/>
        </w:rPr>
        <w:t>)</w:t>
      </w:r>
      <w:proofErr w:type="gramEnd"/>
    </w:p>
    <w:p w:rsidR="0026729F" w:rsidRDefault="0026729F" w:rsidP="00784B5D">
      <w:pPr>
        <w:spacing w:after="0"/>
        <w:jc w:val="both"/>
        <w:rPr>
          <w:rFonts w:ascii="Arial" w:hAnsi="Arial" w:cs="Arial"/>
          <w:b/>
          <w:sz w:val="20"/>
          <w:szCs w:val="20"/>
        </w:rPr>
      </w:pPr>
      <w:r w:rsidRPr="00784B5D">
        <w:rPr>
          <w:rFonts w:ascii="Arial" w:hAnsi="Arial" w:cs="Arial"/>
          <w:b/>
          <w:sz w:val="20"/>
          <w:szCs w:val="20"/>
        </w:rPr>
        <w:t xml:space="preserve">Mandado de segurança. Procedimento administrativo disciplinar. Servidor efetivo cedido. Fases. Competência. Cisão. Possibilidade. Instauração e apuração pelo órgão cessionário. </w:t>
      </w:r>
    </w:p>
    <w:p w:rsidR="00784B5D" w:rsidRPr="00784B5D" w:rsidRDefault="00784B5D" w:rsidP="00784B5D">
      <w:pPr>
        <w:spacing w:after="0"/>
        <w:jc w:val="both"/>
        <w:rPr>
          <w:rFonts w:ascii="Arial" w:hAnsi="Arial" w:cs="Arial"/>
          <w:b/>
          <w:sz w:val="20"/>
          <w:szCs w:val="20"/>
        </w:rPr>
      </w:pPr>
    </w:p>
    <w:p w:rsidR="0026729F" w:rsidRPr="00784B5D" w:rsidRDefault="0026729F" w:rsidP="00784B5D">
      <w:pPr>
        <w:spacing w:after="0"/>
        <w:jc w:val="both"/>
        <w:rPr>
          <w:rFonts w:ascii="Arial" w:eastAsia="Times New Roman" w:hAnsi="Arial" w:cs="Arial"/>
          <w:sz w:val="20"/>
          <w:szCs w:val="20"/>
          <w:lang w:eastAsia="pt-BR"/>
        </w:rPr>
      </w:pPr>
      <w:r w:rsidRPr="00784B5D">
        <w:rPr>
          <w:rFonts w:ascii="Arial" w:eastAsia="Times New Roman" w:hAnsi="Arial" w:cs="Arial"/>
          <w:sz w:val="20"/>
          <w:szCs w:val="20"/>
          <w:lang w:eastAsia="pt-BR"/>
        </w:rPr>
        <w:t xml:space="preserve">A instauração de processo disciplinar contra servidor efetivo cedido deve dar-se, preferencialmente, no órgão em que tenha sido praticada a suposta irregularidade, mas o julgamento e a eventual aplicação de sanção, quando findo o prazo de cessão e já tendo o servidor retornado ao órgão de origem, só podem ocorrer no órgão ao qual o servidor público federal efetivo estiver vinculado. </w:t>
      </w:r>
    </w:p>
    <w:p w:rsidR="006645D9" w:rsidRDefault="006645D9" w:rsidP="00601974">
      <w:pPr>
        <w:spacing w:after="0"/>
        <w:rPr>
          <w:rFonts w:ascii="Arial" w:hAnsi="Arial" w:cs="Arial"/>
          <w:b/>
          <w:color w:val="000000"/>
          <w:sz w:val="20"/>
          <w:szCs w:val="20"/>
        </w:rPr>
      </w:pPr>
    </w:p>
    <w:p w:rsidR="008633B6" w:rsidRPr="009A6989" w:rsidRDefault="008633B6" w:rsidP="00601974">
      <w:pPr>
        <w:spacing w:after="0"/>
        <w:rPr>
          <w:rFonts w:ascii="Arial" w:hAnsi="Arial" w:cs="Arial"/>
          <w:b/>
          <w:color w:val="000000"/>
          <w:sz w:val="20"/>
          <w:szCs w:val="20"/>
        </w:rPr>
      </w:pPr>
      <w:r w:rsidRPr="009A6989">
        <w:rPr>
          <w:rFonts w:ascii="Arial" w:hAnsi="Arial" w:cs="Arial"/>
          <w:b/>
          <w:color w:val="000000"/>
          <w:sz w:val="20"/>
          <w:szCs w:val="20"/>
        </w:rPr>
        <w:t>Tribunal de Contas da União:</w:t>
      </w:r>
    </w:p>
    <w:p w:rsidR="00202F4B" w:rsidRPr="00C73FFD" w:rsidRDefault="00202F4B" w:rsidP="00654D9D">
      <w:pPr>
        <w:spacing w:after="0"/>
        <w:jc w:val="both"/>
        <w:rPr>
          <w:rFonts w:ascii="Arial" w:hAnsi="Arial" w:cs="Arial"/>
          <w:b/>
          <w:color w:val="000000"/>
          <w:sz w:val="20"/>
          <w:szCs w:val="20"/>
        </w:rPr>
      </w:pPr>
    </w:p>
    <w:p w:rsidR="008D7542" w:rsidRDefault="00F23896" w:rsidP="00523246">
      <w:pPr>
        <w:widowControl w:val="0"/>
        <w:autoSpaceDE w:val="0"/>
        <w:autoSpaceDN w:val="0"/>
        <w:spacing w:after="0"/>
        <w:ind w:left="22"/>
        <w:jc w:val="both"/>
        <w:rPr>
          <w:rFonts w:ascii="Arial" w:hAnsi="Arial" w:cs="Arial"/>
          <w:b/>
          <w:sz w:val="20"/>
          <w:szCs w:val="20"/>
        </w:rPr>
      </w:pPr>
      <w:hyperlink r:id="rId22" w:history="1">
        <w:r w:rsidR="008D7542" w:rsidRPr="00600AA5">
          <w:rPr>
            <w:rStyle w:val="Hyperlink"/>
            <w:rFonts w:ascii="Arial" w:hAnsi="Arial" w:cs="Arial"/>
            <w:b/>
            <w:sz w:val="20"/>
            <w:szCs w:val="20"/>
          </w:rPr>
          <w:t>Acórdão</w:t>
        </w:r>
        <w:r w:rsidR="00215EF3">
          <w:rPr>
            <w:rStyle w:val="Hyperlink"/>
            <w:rFonts w:ascii="Arial" w:hAnsi="Arial" w:cs="Arial"/>
            <w:b/>
            <w:sz w:val="20"/>
            <w:szCs w:val="20"/>
          </w:rPr>
          <w:t xml:space="preserve"> n°</w:t>
        </w:r>
        <w:r w:rsidR="008D7542" w:rsidRPr="00600AA5">
          <w:rPr>
            <w:rStyle w:val="Hyperlink"/>
            <w:rFonts w:ascii="Arial" w:hAnsi="Arial" w:cs="Arial"/>
            <w:b/>
            <w:sz w:val="20"/>
            <w:szCs w:val="20"/>
          </w:rPr>
          <w:t xml:space="preserve"> 455/2017</w:t>
        </w:r>
        <w:r w:rsidR="00766EC7" w:rsidRPr="00600AA5">
          <w:rPr>
            <w:rStyle w:val="Hyperlink"/>
            <w:rFonts w:ascii="Arial" w:hAnsi="Arial" w:cs="Arial"/>
            <w:b/>
            <w:sz w:val="20"/>
            <w:szCs w:val="20"/>
          </w:rPr>
          <w:t xml:space="preserve"> - </w:t>
        </w:r>
        <w:r w:rsidR="008D7542" w:rsidRPr="00600AA5">
          <w:rPr>
            <w:rStyle w:val="Hyperlink"/>
            <w:rFonts w:ascii="Arial" w:hAnsi="Arial" w:cs="Arial"/>
            <w:b/>
            <w:sz w:val="20"/>
            <w:szCs w:val="20"/>
          </w:rPr>
          <w:t>Plenário</w:t>
        </w:r>
      </w:hyperlink>
      <w:r w:rsidR="008D7542" w:rsidRPr="00AB08A6">
        <w:rPr>
          <w:rFonts w:ascii="Arial" w:hAnsi="Arial" w:cs="Arial"/>
          <w:sz w:val="20"/>
          <w:szCs w:val="20"/>
        </w:rPr>
        <w:t xml:space="preserve"> (</w:t>
      </w:r>
      <w:r w:rsidR="008D7542" w:rsidRPr="00AB08A6">
        <w:rPr>
          <w:rFonts w:ascii="Arial" w:hAnsi="Arial" w:cs="Arial"/>
          <w:b/>
          <w:sz w:val="20"/>
          <w:szCs w:val="20"/>
        </w:rPr>
        <w:t xml:space="preserve">Auditoria, Relator Ministro-Substituto Marcos </w:t>
      </w:r>
      <w:proofErr w:type="spellStart"/>
      <w:r w:rsidR="008D7542" w:rsidRPr="00AB08A6">
        <w:rPr>
          <w:rFonts w:ascii="Arial" w:hAnsi="Arial" w:cs="Arial"/>
          <w:b/>
          <w:sz w:val="20"/>
          <w:szCs w:val="20"/>
        </w:rPr>
        <w:t>Bemquerer</w:t>
      </w:r>
      <w:proofErr w:type="spellEnd"/>
      <w:r w:rsidR="008D7542" w:rsidRPr="00AB08A6">
        <w:rPr>
          <w:rFonts w:ascii="Arial" w:hAnsi="Arial" w:cs="Arial"/>
          <w:b/>
          <w:sz w:val="20"/>
          <w:szCs w:val="20"/>
        </w:rPr>
        <w:t>).</w:t>
      </w:r>
    </w:p>
    <w:p w:rsidR="00523246" w:rsidRPr="00AB08A6" w:rsidRDefault="00523246" w:rsidP="00523246">
      <w:pPr>
        <w:widowControl w:val="0"/>
        <w:autoSpaceDE w:val="0"/>
        <w:autoSpaceDN w:val="0"/>
        <w:spacing w:after="0"/>
        <w:ind w:left="22"/>
        <w:jc w:val="both"/>
        <w:rPr>
          <w:rFonts w:ascii="Arial" w:hAnsi="Arial" w:cs="Arial"/>
          <w:b/>
          <w:sz w:val="20"/>
          <w:szCs w:val="20"/>
        </w:rPr>
      </w:pPr>
    </w:p>
    <w:p w:rsidR="000F18DA" w:rsidRDefault="000F18DA" w:rsidP="00523246">
      <w:pPr>
        <w:spacing w:after="0"/>
        <w:jc w:val="both"/>
        <w:rPr>
          <w:rFonts w:ascii="Arial" w:hAnsi="Arial" w:cs="Arial"/>
          <w:sz w:val="20"/>
          <w:szCs w:val="20"/>
        </w:rPr>
      </w:pPr>
      <w:r w:rsidRPr="00AB08A6">
        <w:rPr>
          <w:rFonts w:ascii="Arial" w:hAnsi="Arial" w:cs="Arial"/>
          <w:sz w:val="20"/>
          <w:szCs w:val="20"/>
        </w:rPr>
        <w:t>Constatado fato superveniente a motivar o desfazimento do processo licitatório por inconveniência e/ou inoportunidade, a Administração deve comunicar aos licitantes a intenção de revogação, oferecendo-lhes direito ao contraditório e à ampla defesa prévios, em prazo razoável.</w:t>
      </w:r>
    </w:p>
    <w:p w:rsidR="00215EF3" w:rsidRDefault="00215EF3" w:rsidP="00523246">
      <w:pPr>
        <w:spacing w:after="0"/>
        <w:jc w:val="both"/>
        <w:rPr>
          <w:rFonts w:ascii="Arial" w:hAnsi="Arial" w:cs="Arial"/>
          <w:b/>
          <w:sz w:val="20"/>
        </w:rPr>
      </w:pPr>
    </w:p>
    <w:p w:rsidR="00B10F47" w:rsidRPr="00A27251" w:rsidRDefault="00F23896" w:rsidP="00523246">
      <w:pPr>
        <w:spacing w:after="0"/>
        <w:jc w:val="both"/>
        <w:rPr>
          <w:rFonts w:ascii="Arial" w:hAnsi="Arial" w:cs="Arial"/>
          <w:sz w:val="20"/>
        </w:rPr>
      </w:pPr>
      <w:hyperlink r:id="rId23" w:history="1">
        <w:r w:rsidR="00B10F47" w:rsidRPr="004D3864">
          <w:rPr>
            <w:rStyle w:val="Hyperlink"/>
            <w:rFonts w:ascii="Arial" w:hAnsi="Arial" w:cs="Arial"/>
            <w:b/>
            <w:sz w:val="20"/>
          </w:rPr>
          <w:t>Acórdão</w:t>
        </w:r>
        <w:r w:rsidR="00215EF3" w:rsidRPr="004D3864">
          <w:rPr>
            <w:rStyle w:val="Hyperlink"/>
            <w:rFonts w:ascii="Arial" w:hAnsi="Arial" w:cs="Arial"/>
            <w:b/>
            <w:sz w:val="20"/>
          </w:rPr>
          <w:t xml:space="preserve"> n°</w:t>
        </w:r>
        <w:r w:rsidR="00B10F47" w:rsidRPr="004D3864">
          <w:rPr>
            <w:rStyle w:val="Hyperlink"/>
            <w:rFonts w:ascii="Arial" w:hAnsi="Arial" w:cs="Arial"/>
            <w:b/>
            <w:sz w:val="20"/>
          </w:rPr>
          <w:t xml:space="preserve"> 559/2017</w:t>
        </w:r>
        <w:r w:rsidR="00215EF3" w:rsidRPr="004D3864">
          <w:rPr>
            <w:rStyle w:val="Hyperlink"/>
            <w:rFonts w:ascii="Arial" w:hAnsi="Arial" w:cs="Arial"/>
            <w:b/>
            <w:sz w:val="20"/>
          </w:rPr>
          <w:t xml:space="preserve"> - </w:t>
        </w:r>
        <w:r w:rsidR="00B10F47" w:rsidRPr="004D3864">
          <w:rPr>
            <w:rStyle w:val="Hyperlink"/>
            <w:rFonts w:ascii="Arial" w:hAnsi="Arial" w:cs="Arial"/>
            <w:b/>
            <w:sz w:val="20"/>
          </w:rPr>
          <w:t>Plenário</w:t>
        </w:r>
      </w:hyperlink>
      <w:r w:rsidR="00B10F47" w:rsidRPr="00A27251">
        <w:rPr>
          <w:rFonts w:ascii="Arial" w:hAnsi="Arial" w:cs="Arial"/>
          <w:sz w:val="20"/>
        </w:rPr>
        <w:t xml:space="preserve"> (</w:t>
      </w:r>
      <w:r w:rsidR="00B10F47" w:rsidRPr="00A27251">
        <w:rPr>
          <w:rFonts w:ascii="Arial" w:hAnsi="Arial" w:cs="Arial"/>
          <w:b/>
          <w:sz w:val="20"/>
        </w:rPr>
        <w:t xml:space="preserve">Pedido de Reexame, Relator Ministro Benjamin </w:t>
      </w:r>
      <w:proofErr w:type="spellStart"/>
      <w:r w:rsidR="00B10F47" w:rsidRPr="00A27251">
        <w:rPr>
          <w:rFonts w:ascii="Arial" w:hAnsi="Arial" w:cs="Arial"/>
          <w:b/>
          <w:sz w:val="20"/>
        </w:rPr>
        <w:t>Zymler</w:t>
      </w:r>
      <w:proofErr w:type="spellEnd"/>
      <w:r w:rsidR="00B10F47">
        <w:rPr>
          <w:rFonts w:ascii="Arial" w:hAnsi="Arial" w:cs="Arial"/>
          <w:sz w:val="20"/>
        </w:rPr>
        <w:t>).</w:t>
      </w:r>
    </w:p>
    <w:p w:rsidR="00215EF3" w:rsidRDefault="00215EF3" w:rsidP="00523246">
      <w:pPr>
        <w:spacing w:after="0"/>
        <w:jc w:val="both"/>
        <w:rPr>
          <w:rFonts w:ascii="Arial" w:hAnsi="Arial" w:cs="Arial"/>
          <w:sz w:val="20"/>
        </w:rPr>
      </w:pPr>
    </w:p>
    <w:p w:rsidR="00B10F47" w:rsidRDefault="00B10F47" w:rsidP="00523246">
      <w:pPr>
        <w:spacing w:after="0"/>
        <w:jc w:val="both"/>
        <w:rPr>
          <w:rFonts w:ascii="Arial" w:hAnsi="Arial" w:cs="Arial"/>
          <w:sz w:val="20"/>
        </w:rPr>
      </w:pPr>
      <w:r w:rsidRPr="00A27251">
        <w:rPr>
          <w:rFonts w:ascii="Arial" w:hAnsi="Arial" w:cs="Arial"/>
          <w:sz w:val="20"/>
        </w:rPr>
        <w:t xml:space="preserve">Licitação. Edital de licitação. Marca. Princípio da motivação. Qualidade. A indicação ou a preferência por marca só é admissível se restar comprovado que a escolha é a mais vantajosa e a única que atende às necessidades da Administração. A licitação não tem por objetivo, </w:t>
      </w:r>
      <w:r w:rsidRPr="00A27251">
        <w:rPr>
          <w:rFonts w:ascii="Arial" w:hAnsi="Arial" w:cs="Arial"/>
          <w:sz w:val="20"/>
        </w:rPr>
        <w:lastRenderedPageBreak/>
        <w:t>necessariamente, a escolha do produto ou do serviço de melhor qualidade disponibilizado no mercado.</w:t>
      </w:r>
    </w:p>
    <w:p w:rsidR="00B10F47" w:rsidRDefault="00F23896" w:rsidP="00523246">
      <w:pPr>
        <w:spacing w:after="0"/>
        <w:jc w:val="both"/>
        <w:rPr>
          <w:rFonts w:ascii="Arial" w:hAnsi="Arial" w:cs="Arial"/>
          <w:sz w:val="20"/>
        </w:rPr>
      </w:pPr>
      <w:hyperlink r:id="rId24" w:history="1">
        <w:r w:rsidR="00B10F47" w:rsidRPr="00215EF3">
          <w:rPr>
            <w:rStyle w:val="Hyperlink"/>
            <w:rFonts w:ascii="Arial" w:hAnsi="Arial" w:cs="Arial"/>
            <w:b/>
            <w:sz w:val="20"/>
          </w:rPr>
          <w:t>Acórdão</w:t>
        </w:r>
        <w:r w:rsidR="0041120A" w:rsidRPr="00215EF3">
          <w:rPr>
            <w:rStyle w:val="Hyperlink"/>
            <w:rFonts w:ascii="Arial" w:hAnsi="Arial" w:cs="Arial"/>
            <w:b/>
            <w:sz w:val="20"/>
          </w:rPr>
          <w:t xml:space="preserve"> n°</w:t>
        </w:r>
        <w:r w:rsidR="00B10F47" w:rsidRPr="00215EF3">
          <w:rPr>
            <w:rStyle w:val="Hyperlink"/>
            <w:rFonts w:ascii="Arial" w:hAnsi="Arial" w:cs="Arial"/>
            <w:b/>
            <w:sz w:val="20"/>
          </w:rPr>
          <w:t xml:space="preserve"> 495/2017</w:t>
        </w:r>
        <w:r w:rsidR="00215EF3" w:rsidRPr="00215EF3">
          <w:rPr>
            <w:rStyle w:val="Hyperlink"/>
            <w:rFonts w:ascii="Arial" w:hAnsi="Arial" w:cs="Arial"/>
            <w:b/>
            <w:sz w:val="20"/>
          </w:rPr>
          <w:t xml:space="preserve"> - </w:t>
        </w:r>
        <w:r w:rsidR="00B10F47" w:rsidRPr="00215EF3">
          <w:rPr>
            <w:rStyle w:val="Hyperlink"/>
            <w:rFonts w:ascii="Arial" w:hAnsi="Arial" w:cs="Arial"/>
            <w:b/>
            <w:sz w:val="20"/>
          </w:rPr>
          <w:t>Plenário</w:t>
        </w:r>
      </w:hyperlink>
      <w:r w:rsidR="00B10F47">
        <w:rPr>
          <w:rFonts w:ascii="Arial" w:hAnsi="Arial" w:cs="Arial"/>
          <w:sz w:val="20"/>
        </w:rPr>
        <w:t xml:space="preserve"> </w:t>
      </w:r>
      <w:r w:rsidR="00B10F47" w:rsidRPr="00590B41">
        <w:rPr>
          <w:rFonts w:ascii="Arial" w:hAnsi="Arial" w:cs="Arial"/>
          <w:b/>
          <w:sz w:val="20"/>
        </w:rPr>
        <w:t xml:space="preserve">(Tomada de Contas Especial, Relator Ministro Augusto </w:t>
      </w:r>
      <w:proofErr w:type="spellStart"/>
      <w:r w:rsidR="00B10F47" w:rsidRPr="00590B41">
        <w:rPr>
          <w:rFonts w:ascii="Arial" w:hAnsi="Arial" w:cs="Arial"/>
          <w:b/>
          <w:sz w:val="20"/>
        </w:rPr>
        <w:t>Nardes</w:t>
      </w:r>
      <w:proofErr w:type="spellEnd"/>
      <w:r w:rsidR="00B10F47" w:rsidRPr="00590B41">
        <w:rPr>
          <w:rFonts w:ascii="Arial" w:hAnsi="Arial" w:cs="Arial"/>
          <w:b/>
          <w:sz w:val="20"/>
        </w:rPr>
        <w:t>)</w:t>
      </w:r>
      <w:r w:rsidR="00B10F47">
        <w:rPr>
          <w:rFonts w:ascii="Arial" w:hAnsi="Arial" w:cs="Arial"/>
          <w:b/>
          <w:sz w:val="20"/>
        </w:rPr>
        <w:t>.</w:t>
      </w:r>
    </w:p>
    <w:p w:rsidR="00B10F47" w:rsidRDefault="00B10F47" w:rsidP="00523246">
      <w:pPr>
        <w:spacing w:after="0"/>
        <w:jc w:val="both"/>
        <w:rPr>
          <w:rFonts w:ascii="Arial" w:hAnsi="Arial" w:cs="Arial"/>
          <w:sz w:val="20"/>
        </w:rPr>
      </w:pPr>
    </w:p>
    <w:p w:rsidR="00B10F47" w:rsidRPr="00590B41" w:rsidRDefault="00B10F47" w:rsidP="00523246">
      <w:pPr>
        <w:spacing w:after="0"/>
        <w:jc w:val="both"/>
        <w:rPr>
          <w:rFonts w:ascii="Arial" w:hAnsi="Arial" w:cs="Arial"/>
          <w:sz w:val="20"/>
        </w:rPr>
      </w:pPr>
      <w:r w:rsidRPr="00590B41">
        <w:rPr>
          <w:rFonts w:ascii="Arial" w:hAnsi="Arial" w:cs="Arial"/>
          <w:sz w:val="20"/>
        </w:rPr>
        <w:t xml:space="preserve">Convênio. Formalização. Vedação. Interesse privado. Lucro. É irregular a celebração de convênios que visem à realização de projeto conduzido pelo setor privado com potencial lucrativo </w:t>
      </w:r>
      <w:r>
        <w:rPr>
          <w:rFonts w:ascii="Arial" w:hAnsi="Arial" w:cs="Arial"/>
          <w:sz w:val="20"/>
        </w:rPr>
        <w:t>-</w:t>
      </w:r>
      <w:r w:rsidRPr="00590B41">
        <w:rPr>
          <w:rFonts w:ascii="Arial" w:hAnsi="Arial" w:cs="Arial"/>
          <w:sz w:val="20"/>
        </w:rPr>
        <w:t xml:space="preserve"> ante a alta capacidade de arrecadação em contraste com os custos do evento </w:t>
      </w:r>
      <w:r w:rsidR="005F03A4">
        <w:rPr>
          <w:rFonts w:ascii="Arial" w:hAnsi="Arial" w:cs="Arial"/>
          <w:sz w:val="20"/>
        </w:rPr>
        <w:t>-</w:t>
      </w:r>
      <w:r w:rsidRPr="00590B41">
        <w:rPr>
          <w:rFonts w:ascii="Arial" w:hAnsi="Arial" w:cs="Arial"/>
          <w:sz w:val="20"/>
        </w:rPr>
        <w:t xml:space="preserve"> e baixo risco de fracasso na obtenção do lucro previsto, uma vez que o instituto do convênio de que trata o Decreto 6.170/2007, visa, única e exclusivamente, ao atendimento de interesse público recíproco, e não ao atendimento de interesse fundament</w:t>
      </w:r>
      <w:r>
        <w:rPr>
          <w:rFonts w:ascii="Arial" w:hAnsi="Arial" w:cs="Arial"/>
          <w:sz w:val="20"/>
        </w:rPr>
        <w:t>almente privado</w:t>
      </w:r>
      <w:r w:rsidRPr="00590B41">
        <w:rPr>
          <w:rFonts w:ascii="Arial" w:hAnsi="Arial" w:cs="Arial"/>
          <w:sz w:val="20"/>
        </w:rPr>
        <w:t>.</w:t>
      </w:r>
    </w:p>
    <w:p w:rsidR="00B10F47" w:rsidRPr="00590B41" w:rsidRDefault="00B10F47" w:rsidP="00523246">
      <w:pPr>
        <w:spacing w:after="0"/>
        <w:jc w:val="both"/>
        <w:rPr>
          <w:rFonts w:ascii="Arial" w:hAnsi="Arial" w:cs="Arial"/>
          <w:b/>
          <w:color w:val="000000"/>
          <w:sz w:val="18"/>
          <w:szCs w:val="20"/>
        </w:rPr>
      </w:pPr>
    </w:p>
    <w:p w:rsidR="00B10F47" w:rsidRPr="00590B41" w:rsidRDefault="00F23896" w:rsidP="00523246">
      <w:pPr>
        <w:spacing w:after="0"/>
        <w:jc w:val="both"/>
        <w:rPr>
          <w:rFonts w:ascii="Arial" w:hAnsi="Arial" w:cs="Arial"/>
          <w:b/>
          <w:sz w:val="20"/>
        </w:rPr>
      </w:pPr>
      <w:hyperlink r:id="rId25" w:history="1">
        <w:r w:rsidR="00B10F47" w:rsidRPr="0041120A">
          <w:rPr>
            <w:rStyle w:val="Hyperlink"/>
            <w:rFonts w:ascii="Arial" w:hAnsi="Arial" w:cs="Arial"/>
            <w:b/>
            <w:sz w:val="20"/>
          </w:rPr>
          <w:t>Acórdão</w:t>
        </w:r>
        <w:r w:rsidR="0041120A">
          <w:rPr>
            <w:rStyle w:val="Hyperlink"/>
            <w:rFonts w:ascii="Arial" w:hAnsi="Arial" w:cs="Arial"/>
            <w:b/>
            <w:sz w:val="20"/>
          </w:rPr>
          <w:t xml:space="preserve"> n°</w:t>
        </w:r>
        <w:r w:rsidR="00B10F47" w:rsidRPr="0041120A">
          <w:rPr>
            <w:rStyle w:val="Hyperlink"/>
            <w:rFonts w:ascii="Arial" w:hAnsi="Arial" w:cs="Arial"/>
            <w:b/>
            <w:sz w:val="20"/>
          </w:rPr>
          <w:t xml:space="preserve"> 683/2017</w:t>
        </w:r>
        <w:r w:rsidR="0041120A">
          <w:rPr>
            <w:rStyle w:val="Hyperlink"/>
            <w:rFonts w:ascii="Arial" w:hAnsi="Arial" w:cs="Arial"/>
            <w:b/>
            <w:sz w:val="20"/>
          </w:rPr>
          <w:t xml:space="preserve"> -</w:t>
        </w:r>
        <w:r w:rsidR="00B10F47" w:rsidRPr="0041120A">
          <w:rPr>
            <w:rStyle w:val="Hyperlink"/>
            <w:rFonts w:ascii="Arial" w:hAnsi="Arial" w:cs="Arial"/>
            <w:b/>
            <w:sz w:val="20"/>
          </w:rPr>
          <w:t xml:space="preserve"> Primeira Câmara</w:t>
        </w:r>
      </w:hyperlink>
      <w:r w:rsidR="00B10F47" w:rsidRPr="00590B41">
        <w:rPr>
          <w:rFonts w:ascii="Arial" w:hAnsi="Arial" w:cs="Arial"/>
          <w:b/>
          <w:sz w:val="20"/>
        </w:rPr>
        <w:t xml:space="preserve"> (Admissão, Relator Ministro Benjamin </w:t>
      </w:r>
      <w:proofErr w:type="spellStart"/>
      <w:r w:rsidR="00B10F47" w:rsidRPr="00590B41">
        <w:rPr>
          <w:rFonts w:ascii="Arial" w:hAnsi="Arial" w:cs="Arial"/>
          <w:b/>
          <w:sz w:val="20"/>
        </w:rPr>
        <w:t>Zymler</w:t>
      </w:r>
      <w:proofErr w:type="spellEnd"/>
      <w:r w:rsidR="00B10F47" w:rsidRPr="00590B41">
        <w:rPr>
          <w:rFonts w:ascii="Arial" w:hAnsi="Arial" w:cs="Arial"/>
          <w:b/>
          <w:sz w:val="20"/>
        </w:rPr>
        <w:t>)</w:t>
      </w:r>
      <w:r w:rsidR="00B10F47">
        <w:rPr>
          <w:rFonts w:ascii="Arial" w:hAnsi="Arial" w:cs="Arial"/>
          <w:b/>
          <w:sz w:val="20"/>
        </w:rPr>
        <w:t>.</w:t>
      </w:r>
      <w:r w:rsidR="00B10F47" w:rsidRPr="00590B41">
        <w:rPr>
          <w:rFonts w:ascii="Arial" w:hAnsi="Arial" w:cs="Arial"/>
          <w:b/>
          <w:sz w:val="20"/>
        </w:rPr>
        <w:t xml:space="preserve"> </w:t>
      </w:r>
    </w:p>
    <w:p w:rsidR="00B10F47" w:rsidRDefault="00B10F47" w:rsidP="00523246">
      <w:pPr>
        <w:spacing w:after="0"/>
        <w:jc w:val="both"/>
        <w:rPr>
          <w:rFonts w:ascii="Arial" w:hAnsi="Arial" w:cs="Arial"/>
          <w:sz w:val="20"/>
        </w:rPr>
      </w:pPr>
    </w:p>
    <w:p w:rsidR="00B10F47" w:rsidRPr="00590B41" w:rsidRDefault="00B10F47" w:rsidP="00523246">
      <w:pPr>
        <w:spacing w:after="0"/>
        <w:jc w:val="both"/>
        <w:rPr>
          <w:rFonts w:ascii="Arial" w:hAnsi="Arial" w:cs="Arial"/>
          <w:sz w:val="20"/>
        </w:rPr>
      </w:pPr>
      <w:r w:rsidRPr="00590B41">
        <w:rPr>
          <w:rFonts w:ascii="Arial" w:hAnsi="Arial" w:cs="Arial"/>
          <w:sz w:val="20"/>
        </w:rPr>
        <w:t>Cargo público. Investidura. Menor de idade. Emancipação. Impossibilidade. Concurso público. O requisito de dezoito anos como idade mínima para investidura em cargo público (art. 5º, inciso V, da Lei 8.112/1990) não é suprido por eventual emancipação civil, e deve ser comprovado na data da inscrição no certame.</w:t>
      </w:r>
    </w:p>
    <w:p w:rsidR="00B10F47" w:rsidRDefault="00B10F47" w:rsidP="00523246">
      <w:pPr>
        <w:spacing w:after="0"/>
        <w:jc w:val="both"/>
        <w:rPr>
          <w:rFonts w:ascii="Arial" w:hAnsi="Arial" w:cs="Arial"/>
          <w:sz w:val="20"/>
          <w:szCs w:val="20"/>
        </w:rPr>
      </w:pPr>
    </w:p>
    <w:p w:rsidR="00C74512" w:rsidRDefault="00F71AD5" w:rsidP="00523246">
      <w:pPr>
        <w:spacing w:after="0"/>
        <w:jc w:val="both"/>
        <w:rPr>
          <w:rFonts w:ascii="Arial" w:hAnsi="Arial" w:cs="Arial"/>
          <w:b/>
          <w:color w:val="000000"/>
          <w:sz w:val="20"/>
          <w:szCs w:val="20"/>
        </w:rPr>
      </w:pPr>
      <w:r>
        <w:rPr>
          <w:rFonts w:ascii="Arial" w:hAnsi="Arial" w:cs="Arial"/>
          <w:b/>
          <w:color w:val="000000"/>
          <w:sz w:val="20"/>
          <w:szCs w:val="20"/>
        </w:rPr>
        <w:t xml:space="preserve">OLACEFS </w:t>
      </w:r>
      <w:r w:rsidR="0030165B">
        <w:rPr>
          <w:rFonts w:ascii="Arial" w:hAnsi="Arial" w:cs="Arial"/>
          <w:b/>
          <w:color w:val="000000"/>
          <w:sz w:val="20"/>
          <w:szCs w:val="20"/>
        </w:rPr>
        <w:t xml:space="preserve">- Organização </w:t>
      </w:r>
      <w:r w:rsidR="00A25A27">
        <w:rPr>
          <w:rFonts w:ascii="Arial" w:hAnsi="Arial" w:cs="Arial"/>
          <w:b/>
          <w:color w:val="000000"/>
          <w:sz w:val="20"/>
          <w:szCs w:val="20"/>
        </w:rPr>
        <w:t xml:space="preserve">da América Latina e do </w:t>
      </w:r>
      <w:r w:rsidR="0030165B">
        <w:rPr>
          <w:rFonts w:ascii="Arial" w:hAnsi="Arial" w:cs="Arial"/>
          <w:b/>
          <w:color w:val="000000"/>
          <w:sz w:val="20"/>
          <w:szCs w:val="20"/>
        </w:rPr>
        <w:t>Caribe de Entidades Fiscalizadoras Superiores</w:t>
      </w:r>
      <w:r w:rsidR="000F1FFA">
        <w:rPr>
          <w:rFonts w:ascii="Arial" w:hAnsi="Arial" w:cs="Arial"/>
          <w:b/>
          <w:color w:val="000000"/>
          <w:sz w:val="20"/>
          <w:szCs w:val="20"/>
        </w:rPr>
        <w:t>:</w:t>
      </w:r>
      <w:proofErr w:type="gramStart"/>
      <w:r w:rsidR="0030165B">
        <w:rPr>
          <w:rFonts w:ascii="Arial" w:hAnsi="Arial" w:cs="Arial"/>
          <w:b/>
          <w:color w:val="000000"/>
          <w:sz w:val="20"/>
          <w:szCs w:val="20"/>
        </w:rPr>
        <w:t xml:space="preserve">  </w:t>
      </w:r>
    </w:p>
    <w:p w:rsidR="00673A29" w:rsidRDefault="00673A29" w:rsidP="00523246">
      <w:pPr>
        <w:spacing w:after="0"/>
        <w:jc w:val="both"/>
        <w:rPr>
          <w:rFonts w:ascii="Arial" w:hAnsi="Arial" w:cs="Arial"/>
          <w:sz w:val="20"/>
          <w:szCs w:val="20"/>
        </w:rPr>
      </w:pPr>
      <w:proofErr w:type="gramEnd"/>
    </w:p>
    <w:p w:rsidR="00597215" w:rsidRDefault="00597215" w:rsidP="00523246">
      <w:pPr>
        <w:widowControl w:val="0"/>
        <w:autoSpaceDE w:val="0"/>
        <w:autoSpaceDN w:val="0"/>
        <w:spacing w:after="0"/>
        <w:jc w:val="both"/>
        <w:rPr>
          <w:rStyle w:val="Hyperlink"/>
          <w:rFonts w:ascii="Arial" w:hAnsi="Arial" w:cs="Arial"/>
          <w:b/>
          <w:sz w:val="20"/>
          <w:szCs w:val="20"/>
        </w:rPr>
      </w:pPr>
      <w:r>
        <w:rPr>
          <w:rFonts w:ascii="Arial" w:hAnsi="Arial" w:cs="Arial"/>
          <w:sz w:val="20"/>
          <w:szCs w:val="20"/>
        </w:rPr>
        <w:t xml:space="preserve">Informe Executivo do Relatório da ACPA disponível em língua espanhola: </w:t>
      </w:r>
      <w:hyperlink r:id="rId26" w:history="1">
        <w:proofErr w:type="spellStart"/>
        <w:r w:rsidR="00AF43E1" w:rsidRPr="00A427B2">
          <w:rPr>
            <w:rStyle w:val="Hyperlink"/>
            <w:rFonts w:ascii="Arial" w:hAnsi="Arial" w:cs="Arial"/>
            <w:b/>
            <w:sz w:val="20"/>
            <w:szCs w:val="20"/>
          </w:rPr>
          <w:t>A</w:t>
        </w:r>
        <w:r w:rsidRPr="00A427B2">
          <w:rPr>
            <w:rStyle w:val="Hyperlink"/>
            <w:rFonts w:ascii="Arial" w:hAnsi="Arial" w:cs="Arial"/>
            <w:b/>
            <w:sz w:val="20"/>
            <w:szCs w:val="20"/>
          </w:rPr>
          <w:t>uditor</w:t>
        </w:r>
        <w:r w:rsidR="00EE74AF">
          <w:rPr>
            <w:rStyle w:val="Hyperlink"/>
            <w:rFonts w:ascii="Arial" w:hAnsi="Arial" w:cs="Arial"/>
            <w:b/>
            <w:sz w:val="20"/>
            <w:szCs w:val="20"/>
          </w:rPr>
          <w:t>í</w:t>
        </w:r>
        <w:r w:rsidRPr="00A427B2">
          <w:rPr>
            <w:rStyle w:val="Hyperlink"/>
            <w:rFonts w:ascii="Arial" w:hAnsi="Arial" w:cs="Arial"/>
            <w:b/>
            <w:sz w:val="20"/>
            <w:szCs w:val="20"/>
          </w:rPr>
          <w:t>a</w:t>
        </w:r>
        <w:proofErr w:type="spellEnd"/>
        <w:r w:rsidRPr="00A427B2">
          <w:rPr>
            <w:rStyle w:val="Hyperlink"/>
            <w:rFonts w:ascii="Arial" w:hAnsi="Arial" w:cs="Arial"/>
            <w:b/>
            <w:sz w:val="20"/>
            <w:szCs w:val="20"/>
          </w:rPr>
          <w:t xml:space="preserve"> </w:t>
        </w:r>
        <w:proofErr w:type="spellStart"/>
        <w:r w:rsidR="00AF43E1" w:rsidRPr="00A427B2">
          <w:rPr>
            <w:rStyle w:val="Hyperlink"/>
            <w:rFonts w:ascii="Arial" w:hAnsi="Arial" w:cs="Arial"/>
            <w:b/>
            <w:sz w:val="20"/>
            <w:szCs w:val="20"/>
          </w:rPr>
          <w:t>C</w:t>
        </w:r>
        <w:r w:rsidRPr="00A427B2">
          <w:rPr>
            <w:rStyle w:val="Hyperlink"/>
            <w:rFonts w:ascii="Arial" w:hAnsi="Arial" w:cs="Arial"/>
            <w:b/>
            <w:sz w:val="20"/>
            <w:szCs w:val="20"/>
          </w:rPr>
          <w:t>oord</w:t>
        </w:r>
        <w:r w:rsidR="0064332E">
          <w:rPr>
            <w:rStyle w:val="Hyperlink"/>
            <w:rFonts w:ascii="Arial" w:hAnsi="Arial" w:cs="Arial"/>
            <w:b/>
            <w:sz w:val="20"/>
            <w:szCs w:val="20"/>
          </w:rPr>
          <w:t>i</w:t>
        </w:r>
        <w:r w:rsidRPr="00A427B2">
          <w:rPr>
            <w:rStyle w:val="Hyperlink"/>
            <w:rFonts w:ascii="Arial" w:hAnsi="Arial" w:cs="Arial"/>
            <w:b/>
            <w:sz w:val="20"/>
            <w:szCs w:val="20"/>
          </w:rPr>
          <w:t>nad</w:t>
        </w:r>
        <w:r w:rsidRPr="00A427B2">
          <w:rPr>
            <w:rStyle w:val="Hyperlink"/>
            <w:rFonts w:ascii="Arial" w:hAnsi="Arial" w:cs="Arial"/>
            <w:b/>
            <w:sz w:val="20"/>
            <w:szCs w:val="20"/>
          </w:rPr>
          <w:t>a</w:t>
        </w:r>
        <w:proofErr w:type="spellEnd"/>
        <w:r w:rsidRPr="00A427B2">
          <w:rPr>
            <w:rStyle w:val="Hyperlink"/>
            <w:rFonts w:ascii="Arial" w:hAnsi="Arial" w:cs="Arial"/>
            <w:b/>
            <w:sz w:val="20"/>
            <w:szCs w:val="20"/>
          </w:rPr>
          <w:t xml:space="preserve"> de </w:t>
        </w:r>
        <w:proofErr w:type="spellStart"/>
        <w:r w:rsidR="00AF43E1" w:rsidRPr="00A427B2">
          <w:rPr>
            <w:rStyle w:val="Hyperlink"/>
            <w:rFonts w:ascii="Arial" w:hAnsi="Arial" w:cs="Arial"/>
            <w:b/>
            <w:sz w:val="20"/>
            <w:szCs w:val="20"/>
          </w:rPr>
          <w:t>P</w:t>
        </w:r>
        <w:r w:rsidRPr="00A427B2">
          <w:rPr>
            <w:rStyle w:val="Hyperlink"/>
            <w:rFonts w:ascii="Arial" w:hAnsi="Arial" w:cs="Arial"/>
            <w:b/>
            <w:sz w:val="20"/>
            <w:szCs w:val="20"/>
          </w:rPr>
          <w:t>asivos</w:t>
        </w:r>
        <w:proofErr w:type="spellEnd"/>
        <w:r w:rsidRPr="00A427B2">
          <w:rPr>
            <w:rStyle w:val="Hyperlink"/>
            <w:rFonts w:ascii="Arial" w:hAnsi="Arial" w:cs="Arial"/>
            <w:b/>
            <w:sz w:val="20"/>
            <w:szCs w:val="20"/>
          </w:rPr>
          <w:t xml:space="preserve"> </w:t>
        </w:r>
        <w:proofErr w:type="spellStart"/>
        <w:proofErr w:type="gramStart"/>
        <w:r w:rsidR="00AF43E1" w:rsidRPr="00A427B2">
          <w:rPr>
            <w:rStyle w:val="Hyperlink"/>
            <w:rFonts w:ascii="Arial" w:hAnsi="Arial" w:cs="Arial"/>
            <w:b/>
            <w:sz w:val="20"/>
            <w:szCs w:val="20"/>
          </w:rPr>
          <w:t>A</w:t>
        </w:r>
        <w:r w:rsidRPr="00A427B2">
          <w:rPr>
            <w:rStyle w:val="Hyperlink"/>
            <w:rFonts w:ascii="Arial" w:hAnsi="Arial" w:cs="Arial"/>
            <w:b/>
            <w:sz w:val="20"/>
            <w:szCs w:val="20"/>
          </w:rPr>
          <w:t>mbientales</w:t>
        </w:r>
        <w:proofErr w:type="spellEnd"/>
        <w:r w:rsidRPr="00A427B2">
          <w:rPr>
            <w:rStyle w:val="Hyperlink"/>
            <w:rFonts w:ascii="Arial" w:hAnsi="Arial" w:cs="Arial"/>
            <w:b/>
            <w:sz w:val="20"/>
            <w:szCs w:val="20"/>
          </w:rPr>
          <w:t>.</w:t>
        </w:r>
        <w:proofErr w:type="gramEnd"/>
      </w:hyperlink>
    </w:p>
    <w:p w:rsidR="00523246" w:rsidRPr="00A427B2" w:rsidRDefault="00523246" w:rsidP="00523246">
      <w:pPr>
        <w:widowControl w:val="0"/>
        <w:autoSpaceDE w:val="0"/>
        <w:autoSpaceDN w:val="0"/>
        <w:spacing w:after="0"/>
        <w:jc w:val="both"/>
        <w:rPr>
          <w:rFonts w:ascii="Arial" w:hAnsi="Arial" w:cs="Arial"/>
          <w:b/>
          <w:sz w:val="20"/>
          <w:szCs w:val="20"/>
        </w:rPr>
      </w:pPr>
      <w:bookmarkStart w:id="0" w:name="_GoBack"/>
      <w:bookmarkEnd w:id="0"/>
    </w:p>
    <w:p w:rsidR="001942C5" w:rsidRDefault="0013298B" w:rsidP="00523246">
      <w:pPr>
        <w:widowControl w:val="0"/>
        <w:autoSpaceDE w:val="0"/>
        <w:autoSpaceDN w:val="0"/>
        <w:spacing w:after="0"/>
        <w:jc w:val="both"/>
        <w:rPr>
          <w:rFonts w:ascii="Arial" w:hAnsi="Arial" w:cs="Arial"/>
          <w:sz w:val="20"/>
          <w:szCs w:val="20"/>
        </w:rPr>
      </w:pPr>
      <w:r w:rsidRPr="003F2DDE">
        <w:rPr>
          <w:rFonts w:ascii="Arial" w:hAnsi="Arial" w:cs="Arial"/>
          <w:sz w:val="20"/>
          <w:szCs w:val="20"/>
        </w:rPr>
        <w:t>A Comissão Técnica Especial do Meio Ambiente (COMTEMA da OLACEFS)</w:t>
      </w:r>
      <w:r w:rsidR="00D23DE4" w:rsidRPr="003F2DDE">
        <w:rPr>
          <w:rFonts w:ascii="Arial" w:hAnsi="Arial" w:cs="Arial"/>
          <w:sz w:val="20"/>
          <w:szCs w:val="20"/>
        </w:rPr>
        <w:t xml:space="preserve"> realizou Auditoria Coordenada de Passivos Ambientais (ACPA)</w:t>
      </w:r>
      <w:r w:rsidR="00AC06B6" w:rsidRPr="003F2DDE">
        <w:rPr>
          <w:rFonts w:ascii="Arial" w:hAnsi="Arial" w:cs="Arial"/>
          <w:sz w:val="20"/>
          <w:szCs w:val="20"/>
        </w:rPr>
        <w:t xml:space="preserve"> </w:t>
      </w:r>
      <w:r w:rsidR="003F2DDE" w:rsidRPr="003F2DDE">
        <w:rPr>
          <w:rFonts w:ascii="Arial" w:hAnsi="Arial" w:cs="Arial"/>
          <w:sz w:val="20"/>
          <w:szCs w:val="20"/>
        </w:rPr>
        <w:t>sob C</w:t>
      </w:r>
      <w:r w:rsidR="00AC06B6" w:rsidRPr="003F2DDE">
        <w:rPr>
          <w:rFonts w:ascii="Arial" w:hAnsi="Arial" w:cs="Arial"/>
          <w:sz w:val="20"/>
          <w:szCs w:val="20"/>
        </w:rPr>
        <w:t>oordenação d</w:t>
      </w:r>
      <w:r w:rsidR="00D002B4">
        <w:rPr>
          <w:rFonts w:ascii="Arial" w:hAnsi="Arial" w:cs="Arial"/>
          <w:sz w:val="20"/>
          <w:szCs w:val="20"/>
        </w:rPr>
        <w:t>a</w:t>
      </w:r>
      <w:r w:rsidR="00AC06B6" w:rsidRPr="003F2DDE">
        <w:rPr>
          <w:rFonts w:ascii="Arial" w:hAnsi="Arial" w:cs="Arial"/>
          <w:sz w:val="20"/>
          <w:szCs w:val="20"/>
        </w:rPr>
        <w:t xml:space="preserve"> Auditoria Superior da Federação</w:t>
      </w:r>
      <w:r w:rsidR="003F2DDE" w:rsidRPr="003F2DDE">
        <w:rPr>
          <w:rFonts w:ascii="Arial" w:hAnsi="Arial" w:cs="Arial"/>
          <w:sz w:val="20"/>
          <w:szCs w:val="20"/>
        </w:rPr>
        <w:t xml:space="preserve"> dos Estados Unidos do México e </w:t>
      </w:r>
      <w:r w:rsidR="00D002B4">
        <w:rPr>
          <w:rFonts w:ascii="Arial" w:hAnsi="Arial" w:cs="Arial"/>
          <w:sz w:val="20"/>
          <w:szCs w:val="20"/>
        </w:rPr>
        <w:t>d</w:t>
      </w:r>
      <w:r w:rsidR="003F2DDE" w:rsidRPr="003F2DDE">
        <w:rPr>
          <w:rFonts w:ascii="Arial" w:hAnsi="Arial" w:cs="Arial"/>
          <w:sz w:val="20"/>
          <w:szCs w:val="20"/>
        </w:rPr>
        <w:t>a Controladoria Geral da República do Peru</w:t>
      </w:r>
      <w:r w:rsidR="00D002B4">
        <w:rPr>
          <w:rFonts w:ascii="Arial" w:hAnsi="Arial" w:cs="Arial"/>
          <w:sz w:val="20"/>
          <w:szCs w:val="20"/>
        </w:rPr>
        <w:t xml:space="preserve">. O trabalho </w:t>
      </w:r>
      <w:r w:rsidR="00A564AE">
        <w:rPr>
          <w:rFonts w:ascii="Arial" w:hAnsi="Arial" w:cs="Arial"/>
          <w:sz w:val="20"/>
          <w:szCs w:val="20"/>
        </w:rPr>
        <w:t xml:space="preserve">visou estudar a gestão dos resíduos sólidos e perigosos </w:t>
      </w:r>
      <w:r w:rsidR="002426C3">
        <w:rPr>
          <w:rFonts w:ascii="Arial" w:hAnsi="Arial" w:cs="Arial"/>
          <w:sz w:val="20"/>
          <w:szCs w:val="20"/>
        </w:rPr>
        <w:t>produzidos</w:t>
      </w:r>
      <w:r w:rsidR="00A564AE">
        <w:rPr>
          <w:rFonts w:ascii="Arial" w:hAnsi="Arial" w:cs="Arial"/>
          <w:sz w:val="20"/>
          <w:szCs w:val="20"/>
        </w:rPr>
        <w:t xml:space="preserve"> por diversas atividades econômicas, tais como: indústria, mineração, serviços de saúde e agricultura, bem como seus efeitos na preservação do meio ambiente.</w:t>
      </w:r>
      <w:r w:rsidR="005A742F">
        <w:rPr>
          <w:rFonts w:ascii="Arial" w:hAnsi="Arial" w:cs="Arial"/>
          <w:sz w:val="20"/>
          <w:szCs w:val="20"/>
        </w:rPr>
        <w:t xml:space="preserve"> O trabalho conjunto contou com a participação de nove Entidades de Fiscalização Superior (EFS)</w:t>
      </w:r>
      <w:r w:rsidR="00C74512">
        <w:rPr>
          <w:rFonts w:ascii="Arial" w:hAnsi="Arial" w:cs="Arial"/>
          <w:sz w:val="20"/>
          <w:szCs w:val="20"/>
        </w:rPr>
        <w:t xml:space="preserve">: Brasil, Chile, Colômbia, Equador, Honduras, México, Paraguai, Peru e República Dominicana, além das entidades de fiscalização das províncias argentinas de Buenos Aires e Santa Fé. </w:t>
      </w:r>
      <w:r w:rsidR="000572CE">
        <w:rPr>
          <w:rFonts w:ascii="Arial" w:hAnsi="Arial" w:cs="Arial"/>
          <w:sz w:val="20"/>
          <w:szCs w:val="20"/>
        </w:rPr>
        <w:t xml:space="preserve">A Auditoria avaliou a proporção dos recursos destinados </w:t>
      </w:r>
      <w:proofErr w:type="gramStart"/>
      <w:r w:rsidR="00C87639">
        <w:rPr>
          <w:rFonts w:ascii="Arial" w:hAnsi="Arial" w:cs="Arial"/>
          <w:sz w:val="20"/>
          <w:szCs w:val="20"/>
        </w:rPr>
        <w:t>a</w:t>
      </w:r>
      <w:proofErr w:type="gramEnd"/>
      <w:r w:rsidR="000572CE">
        <w:rPr>
          <w:rFonts w:ascii="Arial" w:hAnsi="Arial" w:cs="Arial"/>
          <w:sz w:val="20"/>
          <w:szCs w:val="20"/>
        </w:rPr>
        <w:t xml:space="preserve"> prevenção, controle e restauração dos passivos ambientais, </w:t>
      </w:r>
      <w:r w:rsidR="00904309">
        <w:rPr>
          <w:rFonts w:ascii="Arial" w:hAnsi="Arial" w:cs="Arial"/>
          <w:sz w:val="20"/>
          <w:szCs w:val="20"/>
        </w:rPr>
        <w:t xml:space="preserve">e </w:t>
      </w:r>
      <w:r w:rsidR="00C87639">
        <w:rPr>
          <w:rFonts w:ascii="Arial" w:hAnsi="Arial" w:cs="Arial"/>
          <w:sz w:val="20"/>
          <w:szCs w:val="20"/>
        </w:rPr>
        <w:t xml:space="preserve">observância dos custos para a mitigação dos danos ao ambiente analisando o custo-eficiência dos recursos </w:t>
      </w:r>
      <w:r w:rsidR="00BE4A21">
        <w:rPr>
          <w:rFonts w:ascii="Arial" w:hAnsi="Arial" w:cs="Arial"/>
          <w:sz w:val="20"/>
          <w:szCs w:val="20"/>
        </w:rPr>
        <w:t>orçamentários aplicados</w:t>
      </w:r>
      <w:r w:rsidR="001942C5">
        <w:rPr>
          <w:rFonts w:ascii="Arial" w:hAnsi="Arial" w:cs="Arial"/>
          <w:sz w:val="20"/>
          <w:szCs w:val="20"/>
        </w:rPr>
        <w:t>.</w:t>
      </w:r>
    </w:p>
    <w:p w:rsidR="001823E7" w:rsidRDefault="001823E7" w:rsidP="00523246">
      <w:pPr>
        <w:widowControl w:val="0"/>
        <w:autoSpaceDE w:val="0"/>
        <w:autoSpaceDN w:val="0"/>
        <w:spacing w:after="0"/>
        <w:jc w:val="both"/>
        <w:rPr>
          <w:rFonts w:ascii="Arial" w:hAnsi="Arial" w:cs="Arial"/>
          <w:sz w:val="20"/>
          <w:szCs w:val="20"/>
        </w:rPr>
      </w:pPr>
    </w:p>
    <w:p w:rsidR="002874A2" w:rsidRDefault="0060126D" w:rsidP="008D7542">
      <w:pPr>
        <w:jc w:val="center"/>
        <w:rPr>
          <w:rStyle w:val="Hyperlink"/>
          <w:rFonts w:ascii="Arial" w:hAnsi="Arial" w:cs="Arial"/>
          <w:i/>
          <w:color w:val="000000" w:themeColor="text1"/>
          <w:sz w:val="18"/>
          <w:szCs w:val="18"/>
          <w:u w:val="none"/>
        </w:rPr>
      </w:pPr>
      <w:r w:rsidRPr="005C4DB7">
        <w:rPr>
          <w:rFonts w:ascii="Arial" w:hAnsi="Arial" w:cs="Arial"/>
          <w:noProof/>
          <w:sz w:val="20"/>
          <w:szCs w:val="20"/>
          <w:lang w:eastAsia="pt-BR"/>
        </w:rPr>
        <mc:AlternateContent>
          <mc:Choice Requires="wps">
            <w:drawing>
              <wp:anchor distT="0" distB="0" distL="114300" distR="114300" simplePos="0" relativeHeight="251667456" behindDoc="0" locked="0" layoutInCell="1" allowOverlap="1" wp14:anchorId="32880E73" wp14:editId="289F161D">
                <wp:simplePos x="0" y="0"/>
                <wp:positionH relativeFrom="margin">
                  <wp:posOffset>-6985</wp:posOffset>
                </wp:positionH>
                <wp:positionV relativeFrom="paragraph">
                  <wp:posOffset>97155</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to 59"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7.65pt" to="433.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" strokecolor="black [3200]" strokeweight="2pt">
                <v:shadow on="t" color="black" opacity="24903f" origin=",.5" offset="0,.55556mm"/>
                <w10:wrap anchorx="margin"/>
              </v:line>
            </w:pict>
          </mc:Fallback>
        </mc:AlternateContent>
      </w:r>
    </w:p>
    <w:p w:rsidR="008D7542" w:rsidRDefault="00E30DE6" w:rsidP="008D7542">
      <w:pPr>
        <w:widowControl w:val="0"/>
        <w:autoSpaceDE w:val="0"/>
        <w:autoSpaceDN w:val="0"/>
        <w:jc w:val="center"/>
        <w:rPr>
          <w:rFonts w:ascii="Arial" w:hAnsi="Arial" w:cs="Arial"/>
          <w:b/>
          <w:sz w:val="20"/>
          <w:szCs w:val="20"/>
        </w:rPr>
      </w:pPr>
      <w:r w:rsidRPr="00F41C34">
        <w:rPr>
          <w:rStyle w:val="Hyperlink"/>
          <w:rFonts w:ascii="Arial" w:hAnsi="Arial" w:cs="Arial"/>
          <w:i/>
          <w:color w:val="000000" w:themeColor="text1"/>
          <w:sz w:val="18"/>
          <w:szCs w:val="18"/>
          <w:u w:val="none"/>
        </w:rPr>
        <w:t xml:space="preserve">Elaboração: Escola de Gestão Pública </w:t>
      </w:r>
      <w:r w:rsidR="001A16DE">
        <w:rPr>
          <w:rStyle w:val="Hyperlink"/>
          <w:rFonts w:ascii="Arial" w:hAnsi="Arial" w:cs="Arial"/>
          <w:i/>
          <w:color w:val="000000" w:themeColor="text1"/>
          <w:sz w:val="18"/>
          <w:szCs w:val="18"/>
          <w:u w:val="none"/>
        </w:rPr>
        <w:t>-</w:t>
      </w:r>
      <w:r w:rsidRPr="00F41C34">
        <w:rPr>
          <w:rStyle w:val="Hyperlink"/>
          <w:rFonts w:ascii="Arial" w:hAnsi="Arial" w:cs="Arial"/>
          <w:i/>
          <w:color w:val="000000" w:themeColor="text1"/>
          <w:sz w:val="18"/>
          <w:szCs w:val="18"/>
          <w:u w:val="none"/>
        </w:rPr>
        <w:t xml:space="preserve"> Jurisprudência</w:t>
      </w:r>
    </w:p>
    <w:p w:rsidR="008D7542" w:rsidRDefault="008D7542" w:rsidP="008D7542">
      <w:pPr>
        <w:widowControl w:val="0"/>
        <w:autoSpaceDE w:val="0"/>
        <w:autoSpaceDN w:val="0"/>
        <w:jc w:val="both"/>
        <w:rPr>
          <w:rFonts w:ascii="Arial" w:hAnsi="Arial" w:cs="Arial"/>
          <w:b/>
          <w:sz w:val="20"/>
          <w:szCs w:val="20"/>
        </w:rPr>
      </w:pPr>
    </w:p>
    <w:sectPr w:rsidR="008D7542">
      <w:headerReference w:type="default" r:id="rId27"/>
      <w:foot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7A9" w:rsidRDefault="009907A9" w:rsidP="00350CC2">
      <w:pPr>
        <w:spacing w:after="0" w:line="240" w:lineRule="auto"/>
      </w:pPr>
      <w:r>
        <w:separator/>
      </w:r>
    </w:p>
  </w:endnote>
  <w:endnote w:type="continuationSeparator" w:id="0">
    <w:p w:rsidR="009907A9" w:rsidRDefault="009907A9"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5DE" w:rsidRDefault="002245DE" w:rsidP="002245DE">
    <w:pPr>
      <w:pStyle w:val="Rodap"/>
      <w:jc w:val="center"/>
      <w:rPr>
        <w:sz w:val="16"/>
        <w:szCs w:val="16"/>
      </w:rPr>
    </w:pPr>
    <w:r>
      <w:rPr>
        <w:noProof/>
        <w:lang w:eastAsia="pt-BR"/>
      </w:rPr>
      <w:drawing>
        <wp:inline distT="0" distB="0" distL="0" distR="0" wp14:anchorId="56331AA3" wp14:editId="0191C6FF">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64332E">
      <w:rPr>
        <w:noProof/>
        <w:sz w:val="16"/>
        <w:szCs w:val="16"/>
      </w:rPr>
      <w:t>9</w:t>
    </w:r>
    <w:r w:rsidRPr="0072292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7A9" w:rsidRDefault="009907A9" w:rsidP="00350CC2">
      <w:pPr>
        <w:spacing w:after="0" w:line="240" w:lineRule="auto"/>
      </w:pPr>
      <w:r>
        <w:separator/>
      </w:r>
    </w:p>
  </w:footnote>
  <w:footnote w:type="continuationSeparator" w:id="0">
    <w:p w:rsidR="009907A9" w:rsidRDefault="009907A9" w:rsidP="00350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D7" w:rsidRDefault="006A5FD7" w:rsidP="00F14CCC">
    <w:pPr>
      <w:pStyle w:val="Cabealho"/>
      <w:spacing w:after="100" w:afterAutospacing="1"/>
      <w:jc w:val="center"/>
      <w:rPr>
        <w:b/>
      </w:rPr>
    </w:pPr>
  </w:p>
  <w:p w:rsidR="006A5FD7" w:rsidRDefault="006A5FD7" w:rsidP="00F14CCC">
    <w:pPr>
      <w:pStyle w:val="Cabealho"/>
      <w:spacing w:after="100" w:afterAutospacing="1"/>
      <w:jc w:val="center"/>
      <w:rPr>
        <w:b/>
      </w:rPr>
    </w:pPr>
    <w:r>
      <w:rPr>
        <w:noProof/>
        <w:lang w:eastAsia="pt-BR"/>
      </w:rPr>
      <w:drawing>
        <wp:inline distT="0" distB="0" distL="0" distR="0" wp14:anchorId="4ECA33A9" wp14:editId="3E2CC29F">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91"/>
    <w:rsid w:val="00001F0E"/>
    <w:rsid w:val="0000505F"/>
    <w:rsid w:val="000078B5"/>
    <w:rsid w:val="00007F7A"/>
    <w:rsid w:val="00007FD0"/>
    <w:rsid w:val="00010F88"/>
    <w:rsid w:val="00012CBB"/>
    <w:rsid w:val="00013840"/>
    <w:rsid w:val="00017EBA"/>
    <w:rsid w:val="000262AD"/>
    <w:rsid w:val="00027FAB"/>
    <w:rsid w:val="000300F4"/>
    <w:rsid w:val="00033E69"/>
    <w:rsid w:val="00045700"/>
    <w:rsid w:val="00046191"/>
    <w:rsid w:val="00046E21"/>
    <w:rsid w:val="00047EF1"/>
    <w:rsid w:val="00052862"/>
    <w:rsid w:val="00056686"/>
    <w:rsid w:val="00056E6F"/>
    <w:rsid w:val="000572CE"/>
    <w:rsid w:val="000617CF"/>
    <w:rsid w:val="00062737"/>
    <w:rsid w:val="00067E01"/>
    <w:rsid w:val="00070009"/>
    <w:rsid w:val="00070B14"/>
    <w:rsid w:val="0007200C"/>
    <w:rsid w:val="00074287"/>
    <w:rsid w:val="000747BF"/>
    <w:rsid w:val="00074FAB"/>
    <w:rsid w:val="000759E5"/>
    <w:rsid w:val="000926D4"/>
    <w:rsid w:val="00092E5D"/>
    <w:rsid w:val="0009482D"/>
    <w:rsid w:val="000A29BE"/>
    <w:rsid w:val="000A4EB6"/>
    <w:rsid w:val="000A5F01"/>
    <w:rsid w:val="000A71D1"/>
    <w:rsid w:val="000B1E10"/>
    <w:rsid w:val="000B31B6"/>
    <w:rsid w:val="000B47C0"/>
    <w:rsid w:val="000C3582"/>
    <w:rsid w:val="000C5093"/>
    <w:rsid w:val="000C5EB3"/>
    <w:rsid w:val="000C63BC"/>
    <w:rsid w:val="000D4DE6"/>
    <w:rsid w:val="000E3FC6"/>
    <w:rsid w:val="000E5AC8"/>
    <w:rsid w:val="000F04ED"/>
    <w:rsid w:val="000F18DA"/>
    <w:rsid w:val="000F1FFA"/>
    <w:rsid w:val="000F639D"/>
    <w:rsid w:val="00100B9C"/>
    <w:rsid w:val="00110517"/>
    <w:rsid w:val="00110BD6"/>
    <w:rsid w:val="00111C26"/>
    <w:rsid w:val="00120862"/>
    <w:rsid w:val="0012211A"/>
    <w:rsid w:val="00123D02"/>
    <w:rsid w:val="00126447"/>
    <w:rsid w:val="00127DF2"/>
    <w:rsid w:val="0013298B"/>
    <w:rsid w:val="001342E3"/>
    <w:rsid w:val="00135D5F"/>
    <w:rsid w:val="001411E6"/>
    <w:rsid w:val="00142D10"/>
    <w:rsid w:val="001472C1"/>
    <w:rsid w:val="001529D8"/>
    <w:rsid w:val="00156185"/>
    <w:rsid w:val="00157806"/>
    <w:rsid w:val="00161AA2"/>
    <w:rsid w:val="00166A96"/>
    <w:rsid w:val="001720EB"/>
    <w:rsid w:val="001823E7"/>
    <w:rsid w:val="0018272D"/>
    <w:rsid w:val="00190B94"/>
    <w:rsid w:val="001930D1"/>
    <w:rsid w:val="001942C5"/>
    <w:rsid w:val="00196437"/>
    <w:rsid w:val="001975AB"/>
    <w:rsid w:val="001A16DE"/>
    <w:rsid w:val="001B5F7A"/>
    <w:rsid w:val="001B6E08"/>
    <w:rsid w:val="001D51BD"/>
    <w:rsid w:val="001D684B"/>
    <w:rsid w:val="001D6ADC"/>
    <w:rsid w:val="001E6CAA"/>
    <w:rsid w:val="002013D1"/>
    <w:rsid w:val="0020195B"/>
    <w:rsid w:val="00202F4B"/>
    <w:rsid w:val="002036C8"/>
    <w:rsid w:val="002100EE"/>
    <w:rsid w:val="002147AC"/>
    <w:rsid w:val="00215EF3"/>
    <w:rsid w:val="00221D15"/>
    <w:rsid w:val="00223A59"/>
    <w:rsid w:val="002245DE"/>
    <w:rsid w:val="0023318C"/>
    <w:rsid w:val="00234AE0"/>
    <w:rsid w:val="00235F82"/>
    <w:rsid w:val="00237C21"/>
    <w:rsid w:val="0024200E"/>
    <w:rsid w:val="002426C3"/>
    <w:rsid w:val="00255360"/>
    <w:rsid w:val="00256CEA"/>
    <w:rsid w:val="00260758"/>
    <w:rsid w:val="00260D58"/>
    <w:rsid w:val="0026477F"/>
    <w:rsid w:val="0026729F"/>
    <w:rsid w:val="00271154"/>
    <w:rsid w:val="002805F1"/>
    <w:rsid w:val="00286EB4"/>
    <w:rsid w:val="002874A2"/>
    <w:rsid w:val="002921E2"/>
    <w:rsid w:val="0029566D"/>
    <w:rsid w:val="00295F4B"/>
    <w:rsid w:val="002A00AC"/>
    <w:rsid w:val="002A0792"/>
    <w:rsid w:val="002A1D5F"/>
    <w:rsid w:val="002B070A"/>
    <w:rsid w:val="002B14B7"/>
    <w:rsid w:val="002C19EA"/>
    <w:rsid w:val="002C480F"/>
    <w:rsid w:val="002C56C9"/>
    <w:rsid w:val="002D5B56"/>
    <w:rsid w:val="002D6612"/>
    <w:rsid w:val="002D7650"/>
    <w:rsid w:val="002E4277"/>
    <w:rsid w:val="002E72FA"/>
    <w:rsid w:val="002E7DFF"/>
    <w:rsid w:val="002F0BE9"/>
    <w:rsid w:val="002F13A0"/>
    <w:rsid w:val="002F1634"/>
    <w:rsid w:val="002F22FA"/>
    <w:rsid w:val="0030165B"/>
    <w:rsid w:val="00307038"/>
    <w:rsid w:val="00320577"/>
    <w:rsid w:val="0032266D"/>
    <w:rsid w:val="00325E2F"/>
    <w:rsid w:val="00331533"/>
    <w:rsid w:val="0033604C"/>
    <w:rsid w:val="00343C28"/>
    <w:rsid w:val="00344A3D"/>
    <w:rsid w:val="00344A41"/>
    <w:rsid w:val="0034575E"/>
    <w:rsid w:val="00350CC2"/>
    <w:rsid w:val="0035371B"/>
    <w:rsid w:val="00353FEB"/>
    <w:rsid w:val="00356FB0"/>
    <w:rsid w:val="00361F1D"/>
    <w:rsid w:val="00365E61"/>
    <w:rsid w:val="00365F51"/>
    <w:rsid w:val="0038012F"/>
    <w:rsid w:val="00380BAB"/>
    <w:rsid w:val="00394451"/>
    <w:rsid w:val="003A6622"/>
    <w:rsid w:val="003C6B35"/>
    <w:rsid w:val="003D7C37"/>
    <w:rsid w:val="003E110D"/>
    <w:rsid w:val="003E3529"/>
    <w:rsid w:val="003E3D02"/>
    <w:rsid w:val="003E55BC"/>
    <w:rsid w:val="003F0088"/>
    <w:rsid w:val="003F03C6"/>
    <w:rsid w:val="003F2DDE"/>
    <w:rsid w:val="003F5060"/>
    <w:rsid w:val="003F677C"/>
    <w:rsid w:val="003F7090"/>
    <w:rsid w:val="004043AD"/>
    <w:rsid w:val="00405A6A"/>
    <w:rsid w:val="00406D2C"/>
    <w:rsid w:val="0041120A"/>
    <w:rsid w:val="0041337A"/>
    <w:rsid w:val="00420AE1"/>
    <w:rsid w:val="0042728A"/>
    <w:rsid w:val="004276DC"/>
    <w:rsid w:val="0043291F"/>
    <w:rsid w:val="00437541"/>
    <w:rsid w:val="00441D38"/>
    <w:rsid w:val="00441E59"/>
    <w:rsid w:val="0044532C"/>
    <w:rsid w:val="00447BB2"/>
    <w:rsid w:val="00455387"/>
    <w:rsid w:val="00455AAB"/>
    <w:rsid w:val="0046165B"/>
    <w:rsid w:val="00462460"/>
    <w:rsid w:val="00462A13"/>
    <w:rsid w:val="00463BA8"/>
    <w:rsid w:val="00470218"/>
    <w:rsid w:val="00482FA5"/>
    <w:rsid w:val="00484E6E"/>
    <w:rsid w:val="00487D31"/>
    <w:rsid w:val="004920C5"/>
    <w:rsid w:val="004927D6"/>
    <w:rsid w:val="00492E16"/>
    <w:rsid w:val="00494C04"/>
    <w:rsid w:val="0049557F"/>
    <w:rsid w:val="004965C3"/>
    <w:rsid w:val="004A0574"/>
    <w:rsid w:val="004A5804"/>
    <w:rsid w:val="004A794E"/>
    <w:rsid w:val="004B142E"/>
    <w:rsid w:val="004B44C1"/>
    <w:rsid w:val="004B623F"/>
    <w:rsid w:val="004C11DE"/>
    <w:rsid w:val="004D376C"/>
    <w:rsid w:val="004D3864"/>
    <w:rsid w:val="004D58CD"/>
    <w:rsid w:val="004D5EEF"/>
    <w:rsid w:val="004E6410"/>
    <w:rsid w:val="00500939"/>
    <w:rsid w:val="00501FC7"/>
    <w:rsid w:val="005025F4"/>
    <w:rsid w:val="00502AAF"/>
    <w:rsid w:val="00511F85"/>
    <w:rsid w:val="00517B69"/>
    <w:rsid w:val="00520368"/>
    <w:rsid w:val="00523246"/>
    <w:rsid w:val="00530F1E"/>
    <w:rsid w:val="00532F0D"/>
    <w:rsid w:val="00533C06"/>
    <w:rsid w:val="0053401E"/>
    <w:rsid w:val="00540B8E"/>
    <w:rsid w:val="00542636"/>
    <w:rsid w:val="00544AB5"/>
    <w:rsid w:val="00547AFC"/>
    <w:rsid w:val="0055022A"/>
    <w:rsid w:val="00556F73"/>
    <w:rsid w:val="00561787"/>
    <w:rsid w:val="0056193C"/>
    <w:rsid w:val="005650CD"/>
    <w:rsid w:val="00566AE8"/>
    <w:rsid w:val="005706D5"/>
    <w:rsid w:val="005759E4"/>
    <w:rsid w:val="005819D2"/>
    <w:rsid w:val="00584BC6"/>
    <w:rsid w:val="0058559D"/>
    <w:rsid w:val="00585A3B"/>
    <w:rsid w:val="00586D7A"/>
    <w:rsid w:val="005957D1"/>
    <w:rsid w:val="00597215"/>
    <w:rsid w:val="005A0FD0"/>
    <w:rsid w:val="005A5AF2"/>
    <w:rsid w:val="005A742F"/>
    <w:rsid w:val="005B7055"/>
    <w:rsid w:val="005C4DB7"/>
    <w:rsid w:val="005C5DC8"/>
    <w:rsid w:val="005C661E"/>
    <w:rsid w:val="005D1E9E"/>
    <w:rsid w:val="005D48C8"/>
    <w:rsid w:val="005D58CE"/>
    <w:rsid w:val="005D6DB4"/>
    <w:rsid w:val="005E2760"/>
    <w:rsid w:val="005E2D13"/>
    <w:rsid w:val="005E350B"/>
    <w:rsid w:val="005F03A4"/>
    <w:rsid w:val="005F0C51"/>
    <w:rsid w:val="005F16DB"/>
    <w:rsid w:val="005F2BB5"/>
    <w:rsid w:val="005F3A96"/>
    <w:rsid w:val="005F4DBF"/>
    <w:rsid w:val="00600AA5"/>
    <w:rsid w:val="0060126D"/>
    <w:rsid w:val="00601974"/>
    <w:rsid w:val="006105E3"/>
    <w:rsid w:val="0061491F"/>
    <w:rsid w:val="00620DEF"/>
    <w:rsid w:val="00626DD6"/>
    <w:rsid w:val="006331E3"/>
    <w:rsid w:val="00633C62"/>
    <w:rsid w:val="006361F0"/>
    <w:rsid w:val="006375ED"/>
    <w:rsid w:val="00640861"/>
    <w:rsid w:val="00640BDC"/>
    <w:rsid w:val="0064332E"/>
    <w:rsid w:val="00646004"/>
    <w:rsid w:val="00646AD1"/>
    <w:rsid w:val="00650E4E"/>
    <w:rsid w:val="00654D9D"/>
    <w:rsid w:val="00660C02"/>
    <w:rsid w:val="0066130F"/>
    <w:rsid w:val="006645D9"/>
    <w:rsid w:val="00667637"/>
    <w:rsid w:val="00673A29"/>
    <w:rsid w:val="006766F4"/>
    <w:rsid w:val="0068250F"/>
    <w:rsid w:val="00694174"/>
    <w:rsid w:val="006A27BC"/>
    <w:rsid w:val="006A27D6"/>
    <w:rsid w:val="006A5FD7"/>
    <w:rsid w:val="006B143E"/>
    <w:rsid w:val="006B5E72"/>
    <w:rsid w:val="006C7A04"/>
    <w:rsid w:val="006D1BE7"/>
    <w:rsid w:val="006D6FCC"/>
    <w:rsid w:val="006E26E8"/>
    <w:rsid w:val="006F4894"/>
    <w:rsid w:val="00700672"/>
    <w:rsid w:val="00712A93"/>
    <w:rsid w:val="00714CF1"/>
    <w:rsid w:val="00715CEB"/>
    <w:rsid w:val="00722924"/>
    <w:rsid w:val="00723F1A"/>
    <w:rsid w:val="007319AD"/>
    <w:rsid w:val="00740240"/>
    <w:rsid w:val="00742895"/>
    <w:rsid w:val="00742BC9"/>
    <w:rsid w:val="00745634"/>
    <w:rsid w:val="00746A92"/>
    <w:rsid w:val="00747EAE"/>
    <w:rsid w:val="00750DEB"/>
    <w:rsid w:val="007515C1"/>
    <w:rsid w:val="007557BC"/>
    <w:rsid w:val="00762976"/>
    <w:rsid w:val="00766834"/>
    <w:rsid w:val="00766EC7"/>
    <w:rsid w:val="0077082D"/>
    <w:rsid w:val="0077181C"/>
    <w:rsid w:val="0077499E"/>
    <w:rsid w:val="00783479"/>
    <w:rsid w:val="00784B5D"/>
    <w:rsid w:val="00791384"/>
    <w:rsid w:val="00791D74"/>
    <w:rsid w:val="0079708B"/>
    <w:rsid w:val="0079779E"/>
    <w:rsid w:val="007A71B5"/>
    <w:rsid w:val="007C0E7E"/>
    <w:rsid w:val="007D009C"/>
    <w:rsid w:val="007D2162"/>
    <w:rsid w:val="007D62D9"/>
    <w:rsid w:val="007D73C9"/>
    <w:rsid w:val="007E28C1"/>
    <w:rsid w:val="007F2086"/>
    <w:rsid w:val="00801004"/>
    <w:rsid w:val="008058BC"/>
    <w:rsid w:val="00807854"/>
    <w:rsid w:val="00811A90"/>
    <w:rsid w:val="00815C4F"/>
    <w:rsid w:val="0082026A"/>
    <w:rsid w:val="00826075"/>
    <w:rsid w:val="008267CA"/>
    <w:rsid w:val="00826A19"/>
    <w:rsid w:val="00831915"/>
    <w:rsid w:val="0083305B"/>
    <w:rsid w:val="00834578"/>
    <w:rsid w:val="00841EAB"/>
    <w:rsid w:val="00844977"/>
    <w:rsid w:val="00845BB4"/>
    <w:rsid w:val="00847BF3"/>
    <w:rsid w:val="00853D0B"/>
    <w:rsid w:val="00854B16"/>
    <w:rsid w:val="00854BCA"/>
    <w:rsid w:val="00855A43"/>
    <w:rsid w:val="008561BF"/>
    <w:rsid w:val="008633B6"/>
    <w:rsid w:val="00866481"/>
    <w:rsid w:val="0087076A"/>
    <w:rsid w:val="008731E4"/>
    <w:rsid w:val="008745D6"/>
    <w:rsid w:val="00874DCA"/>
    <w:rsid w:val="00875D64"/>
    <w:rsid w:val="00875E32"/>
    <w:rsid w:val="0088277A"/>
    <w:rsid w:val="0088297B"/>
    <w:rsid w:val="00890A70"/>
    <w:rsid w:val="008928B6"/>
    <w:rsid w:val="00894CA0"/>
    <w:rsid w:val="00895461"/>
    <w:rsid w:val="00897C5E"/>
    <w:rsid w:val="008A2307"/>
    <w:rsid w:val="008A2BB7"/>
    <w:rsid w:val="008B38EE"/>
    <w:rsid w:val="008B55B4"/>
    <w:rsid w:val="008B6A00"/>
    <w:rsid w:val="008C0269"/>
    <w:rsid w:val="008C257C"/>
    <w:rsid w:val="008D0FDE"/>
    <w:rsid w:val="008D7542"/>
    <w:rsid w:val="008D7F7C"/>
    <w:rsid w:val="008E0835"/>
    <w:rsid w:val="008E16ED"/>
    <w:rsid w:val="008E280E"/>
    <w:rsid w:val="008E2BA7"/>
    <w:rsid w:val="008E5642"/>
    <w:rsid w:val="008E5CC2"/>
    <w:rsid w:val="008F2E20"/>
    <w:rsid w:val="00904309"/>
    <w:rsid w:val="00906692"/>
    <w:rsid w:val="00906CF8"/>
    <w:rsid w:val="00912D60"/>
    <w:rsid w:val="00923B20"/>
    <w:rsid w:val="009263DF"/>
    <w:rsid w:val="00932A3A"/>
    <w:rsid w:val="00934143"/>
    <w:rsid w:val="00935444"/>
    <w:rsid w:val="00944802"/>
    <w:rsid w:val="009518D9"/>
    <w:rsid w:val="0095236F"/>
    <w:rsid w:val="00952404"/>
    <w:rsid w:val="00953350"/>
    <w:rsid w:val="0097392A"/>
    <w:rsid w:val="00977C0A"/>
    <w:rsid w:val="0098512F"/>
    <w:rsid w:val="00985728"/>
    <w:rsid w:val="009857DD"/>
    <w:rsid w:val="009859AB"/>
    <w:rsid w:val="00987A4E"/>
    <w:rsid w:val="009907A9"/>
    <w:rsid w:val="00993DE4"/>
    <w:rsid w:val="00993F38"/>
    <w:rsid w:val="00994A4B"/>
    <w:rsid w:val="009A12ED"/>
    <w:rsid w:val="009A201F"/>
    <w:rsid w:val="009A62FC"/>
    <w:rsid w:val="009A6989"/>
    <w:rsid w:val="009B105E"/>
    <w:rsid w:val="009B396E"/>
    <w:rsid w:val="009B39A2"/>
    <w:rsid w:val="009B3B97"/>
    <w:rsid w:val="009B567A"/>
    <w:rsid w:val="009C5C75"/>
    <w:rsid w:val="009D2A29"/>
    <w:rsid w:val="009E1362"/>
    <w:rsid w:val="009E1F6B"/>
    <w:rsid w:val="009E3E77"/>
    <w:rsid w:val="009E4DF2"/>
    <w:rsid w:val="009E6D60"/>
    <w:rsid w:val="009F3962"/>
    <w:rsid w:val="009F7401"/>
    <w:rsid w:val="009F78F2"/>
    <w:rsid w:val="00A10857"/>
    <w:rsid w:val="00A1269B"/>
    <w:rsid w:val="00A130F9"/>
    <w:rsid w:val="00A1585F"/>
    <w:rsid w:val="00A16000"/>
    <w:rsid w:val="00A16398"/>
    <w:rsid w:val="00A211A3"/>
    <w:rsid w:val="00A24629"/>
    <w:rsid w:val="00A25A27"/>
    <w:rsid w:val="00A27485"/>
    <w:rsid w:val="00A30038"/>
    <w:rsid w:val="00A309E8"/>
    <w:rsid w:val="00A3514D"/>
    <w:rsid w:val="00A40F98"/>
    <w:rsid w:val="00A41EF2"/>
    <w:rsid w:val="00A42619"/>
    <w:rsid w:val="00A4267D"/>
    <w:rsid w:val="00A427B2"/>
    <w:rsid w:val="00A47D62"/>
    <w:rsid w:val="00A53CDD"/>
    <w:rsid w:val="00A5538A"/>
    <w:rsid w:val="00A564AE"/>
    <w:rsid w:val="00A63E79"/>
    <w:rsid w:val="00A672B2"/>
    <w:rsid w:val="00A74C51"/>
    <w:rsid w:val="00A77682"/>
    <w:rsid w:val="00A80C19"/>
    <w:rsid w:val="00A90A24"/>
    <w:rsid w:val="00A90BD3"/>
    <w:rsid w:val="00A91402"/>
    <w:rsid w:val="00AA0DFE"/>
    <w:rsid w:val="00AA262E"/>
    <w:rsid w:val="00AA3174"/>
    <w:rsid w:val="00AA3A41"/>
    <w:rsid w:val="00AA6D45"/>
    <w:rsid w:val="00AA7585"/>
    <w:rsid w:val="00AB031D"/>
    <w:rsid w:val="00AB08A6"/>
    <w:rsid w:val="00AB18B3"/>
    <w:rsid w:val="00AB236C"/>
    <w:rsid w:val="00AC06B6"/>
    <w:rsid w:val="00AD528F"/>
    <w:rsid w:val="00AD6EB3"/>
    <w:rsid w:val="00AD741D"/>
    <w:rsid w:val="00AD791C"/>
    <w:rsid w:val="00AE4F42"/>
    <w:rsid w:val="00AE728D"/>
    <w:rsid w:val="00AF2833"/>
    <w:rsid w:val="00AF3716"/>
    <w:rsid w:val="00AF3C46"/>
    <w:rsid w:val="00AF43E1"/>
    <w:rsid w:val="00AF4D71"/>
    <w:rsid w:val="00B0092E"/>
    <w:rsid w:val="00B03BF6"/>
    <w:rsid w:val="00B04A55"/>
    <w:rsid w:val="00B04D46"/>
    <w:rsid w:val="00B10F47"/>
    <w:rsid w:val="00B1385B"/>
    <w:rsid w:val="00B15DBF"/>
    <w:rsid w:val="00B22AD7"/>
    <w:rsid w:val="00B22D31"/>
    <w:rsid w:val="00B27853"/>
    <w:rsid w:val="00B306F7"/>
    <w:rsid w:val="00B30FE2"/>
    <w:rsid w:val="00B32C71"/>
    <w:rsid w:val="00B330C4"/>
    <w:rsid w:val="00B37580"/>
    <w:rsid w:val="00B52215"/>
    <w:rsid w:val="00B530CA"/>
    <w:rsid w:val="00B54527"/>
    <w:rsid w:val="00B57ADA"/>
    <w:rsid w:val="00B6496C"/>
    <w:rsid w:val="00B65962"/>
    <w:rsid w:val="00B82D73"/>
    <w:rsid w:val="00B84A2C"/>
    <w:rsid w:val="00B871D6"/>
    <w:rsid w:val="00BA0DCC"/>
    <w:rsid w:val="00BB2D9C"/>
    <w:rsid w:val="00BB3512"/>
    <w:rsid w:val="00BC137A"/>
    <w:rsid w:val="00BC4347"/>
    <w:rsid w:val="00BC45E0"/>
    <w:rsid w:val="00BC7BCB"/>
    <w:rsid w:val="00BD109B"/>
    <w:rsid w:val="00BD2944"/>
    <w:rsid w:val="00BD2B5E"/>
    <w:rsid w:val="00BD531B"/>
    <w:rsid w:val="00BE4A21"/>
    <w:rsid w:val="00BE7E27"/>
    <w:rsid w:val="00C12603"/>
    <w:rsid w:val="00C131FD"/>
    <w:rsid w:val="00C21959"/>
    <w:rsid w:val="00C30A7D"/>
    <w:rsid w:val="00C31169"/>
    <w:rsid w:val="00C318F6"/>
    <w:rsid w:val="00C37522"/>
    <w:rsid w:val="00C42EFD"/>
    <w:rsid w:val="00C43D8B"/>
    <w:rsid w:val="00C44042"/>
    <w:rsid w:val="00C46AF0"/>
    <w:rsid w:val="00C52956"/>
    <w:rsid w:val="00C53AE1"/>
    <w:rsid w:val="00C53CAD"/>
    <w:rsid w:val="00C54893"/>
    <w:rsid w:val="00C56EB6"/>
    <w:rsid w:val="00C66E11"/>
    <w:rsid w:val="00C6789D"/>
    <w:rsid w:val="00C73FFD"/>
    <w:rsid w:val="00C74512"/>
    <w:rsid w:val="00C84F07"/>
    <w:rsid w:val="00C855D4"/>
    <w:rsid w:val="00C87639"/>
    <w:rsid w:val="00C93D5B"/>
    <w:rsid w:val="00C9442C"/>
    <w:rsid w:val="00C95BCF"/>
    <w:rsid w:val="00C95D16"/>
    <w:rsid w:val="00C95DCF"/>
    <w:rsid w:val="00CA23C4"/>
    <w:rsid w:val="00CA575F"/>
    <w:rsid w:val="00CA6114"/>
    <w:rsid w:val="00CB0797"/>
    <w:rsid w:val="00CB644C"/>
    <w:rsid w:val="00CC5AC6"/>
    <w:rsid w:val="00CD1628"/>
    <w:rsid w:val="00CD1D27"/>
    <w:rsid w:val="00CD3807"/>
    <w:rsid w:val="00CD3AE7"/>
    <w:rsid w:val="00CD5194"/>
    <w:rsid w:val="00CD79FA"/>
    <w:rsid w:val="00CE10E6"/>
    <w:rsid w:val="00CE59A8"/>
    <w:rsid w:val="00CF0873"/>
    <w:rsid w:val="00CF6B3F"/>
    <w:rsid w:val="00D002B4"/>
    <w:rsid w:val="00D03845"/>
    <w:rsid w:val="00D03DCB"/>
    <w:rsid w:val="00D14FC0"/>
    <w:rsid w:val="00D16943"/>
    <w:rsid w:val="00D211AE"/>
    <w:rsid w:val="00D23DE4"/>
    <w:rsid w:val="00D24867"/>
    <w:rsid w:val="00D318E3"/>
    <w:rsid w:val="00D416EB"/>
    <w:rsid w:val="00D41B20"/>
    <w:rsid w:val="00D44615"/>
    <w:rsid w:val="00D45321"/>
    <w:rsid w:val="00D5605F"/>
    <w:rsid w:val="00D62519"/>
    <w:rsid w:val="00D625AA"/>
    <w:rsid w:val="00D63CBD"/>
    <w:rsid w:val="00D66392"/>
    <w:rsid w:val="00D66959"/>
    <w:rsid w:val="00D70A39"/>
    <w:rsid w:val="00D71A7E"/>
    <w:rsid w:val="00D76DE0"/>
    <w:rsid w:val="00D80DF0"/>
    <w:rsid w:val="00D870D4"/>
    <w:rsid w:val="00D9398E"/>
    <w:rsid w:val="00D97059"/>
    <w:rsid w:val="00D97A1D"/>
    <w:rsid w:val="00DA0181"/>
    <w:rsid w:val="00DB0923"/>
    <w:rsid w:val="00DB29CA"/>
    <w:rsid w:val="00DB30C8"/>
    <w:rsid w:val="00DB5F2B"/>
    <w:rsid w:val="00DB74AF"/>
    <w:rsid w:val="00DC1AB8"/>
    <w:rsid w:val="00DC5C19"/>
    <w:rsid w:val="00DC7068"/>
    <w:rsid w:val="00DE07A1"/>
    <w:rsid w:val="00DE21A2"/>
    <w:rsid w:val="00DE2776"/>
    <w:rsid w:val="00DF1DAC"/>
    <w:rsid w:val="00DF60E6"/>
    <w:rsid w:val="00DF6105"/>
    <w:rsid w:val="00E1428E"/>
    <w:rsid w:val="00E14900"/>
    <w:rsid w:val="00E218D3"/>
    <w:rsid w:val="00E30DE6"/>
    <w:rsid w:val="00E31944"/>
    <w:rsid w:val="00E32395"/>
    <w:rsid w:val="00E35435"/>
    <w:rsid w:val="00E37194"/>
    <w:rsid w:val="00E43977"/>
    <w:rsid w:val="00E4415D"/>
    <w:rsid w:val="00E44AB8"/>
    <w:rsid w:val="00E50D3F"/>
    <w:rsid w:val="00E520BE"/>
    <w:rsid w:val="00E54E17"/>
    <w:rsid w:val="00E56A7A"/>
    <w:rsid w:val="00E60419"/>
    <w:rsid w:val="00E60E01"/>
    <w:rsid w:val="00E617D3"/>
    <w:rsid w:val="00E633C1"/>
    <w:rsid w:val="00E67390"/>
    <w:rsid w:val="00E71365"/>
    <w:rsid w:val="00E83B51"/>
    <w:rsid w:val="00E8762F"/>
    <w:rsid w:val="00E90AB8"/>
    <w:rsid w:val="00E93D8F"/>
    <w:rsid w:val="00EA34E2"/>
    <w:rsid w:val="00EA52D1"/>
    <w:rsid w:val="00EB671F"/>
    <w:rsid w:val="00EB70E7"/>
    <w:rsid w:val="00EB76D6"/>
    <w:rsid w:val="00EC02E8"/>
    <w:rsid w:val="00EC3842"/>
    <w:rsid w:val="00EC4299"/>
    <w:rsid w:val="00EC5D5D"/>
    <w:rsid w:val="00EC7908"/>
    <w:rsid w:val="00EC7C2B"/>
    <w:rsid w:val="00ED1F02"/>
    <w:rsid w:val="00EE20A1"/>
    <w:rsid w:val="00EE74AF"/>
    <w:rsid w:val="00EF518E"/>
    <w:rsid w:val="00EF69AE"/>
    <w:rsid w:val="00EF6E2C"/>
    <w:rsid w:val="00F0782D"/>
    <w:rsid w:val="00F11EB3"/>
    <w:rsid w:val="00F14B9B"/>
    <w:rsid w:val="00F14CCC"/>
    <w:rsid w:val="00F17988"/>
    <w:rsid w:val="00F20C09"/>
    <w:rsid w:val="00F217DF"/>
    <w:rsid w:val="00F21CAE"/>
    <w:rsid w:val="00F22AE0"/>
    <w:rsid w:val="00F23896"/>
    <w:rsid w:val="00F26701"/>
    <w:rsid w:val="00F310D7"/>
    <w:rsid w:val="00F368B9"/>
    <w:rsid w:val="00F3739F"/>
    <w:rsid w:val="00F374C1"/>
    <w:rsid w:val="00F37B34"/>
    <w:rsid w:val="00F41C34"/>
    <w:rsid w:val="00F469B9"/>
    <w:rsid w:val="00F46C32"/>
    <w:rsid w:val="00F46ECB"/>
    <w:rsid w:val="00F525B5"/>
    <w:rsid w:val="00F62365"/>
    <w:rsid w:val="00F630A7"/>
    <w:rsid w:val="00F6708D"/>
    <w:rsid w:val="00F71AD5"/>
    <w:rsid w:val="00F74F50"/>
    <w:rsid w:val="00F77822"/>
    <w:rsid w:val="00F83B0D"/>
    <w:rsid w:val="00F83C31"/>
    <w:rsid w:val="00F9222A"/>
    <w:rsid w:val="00F922EA"/>
    <w:rsid w:val="00F92927"/>
    <w:rsid w:val="00F979B3"/>
    <w:rsid w:val="00F97CCD"/>
    <w:rsid w:val="00FA320D"/>
    <w:rsid w:val="00FA362B"/>
    <w:rsid w:val="00FA53E9"/>
    <w:rsid w:val="00FA60EC"/>
    <w:rsid w:val="00FB04E9"/>
    <w:rsid w:val="00FB1179"/>
    <w:rsid w:val="00FB1C6B"/>
    <w:rsid w:val="00FB4841"/>
    <w:rsid w:val="00FB6C94"/>
    <w:rsid w:val="00FB7F8B"/>
    <w:rsid w:val="00FC3753"/>
    <w:rsid w:val="00FC5743"/>
    <w:rsid w:val="00FC6240"/>
    <w:rsid w:val="00FD118C"/>
    <w:rsid w:val="00FD332F"/>
    <w:rsid w:val="00FE1CC1"/>
    <w:rsid w:val="00FE385E"/>
    <w:rsid w:val="00FE3CE2"/>
    <w:rsid w:val="00FE5633"/>
    <w:rsid w:val="00FE6F7A"/>
    <w:rsid w:val="00FE7B14"/>
    <w:rsid w:val="00FF248B"/>
    <w:rsid w:val="00FF3E6F"/>
    <w:rsid w:val="00FF7425"/>
    <w:rsid w:val="00FF7B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91"/>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tce.pr.gov.br/multimidia/2017/3/pdf/00314580.pdf" TargetMode="External"/><Relationship Id="rId18" Type="http://schemas.openxmlformats.org/officeDocument/2006/relationships/hyperlink" Target="http://www1.tce.pr.gov.br/multimidia/2017/4/pdf/00315128.pdf" TargetMode="External"/><Relationship Id="rId26" Type="http://schemas.openxmlformats.org/officeDocument/2006/relationships/hyperlink" Target="http://www.olacefs.com/wp-content/uploads/2016/10/02-Informe-Regional-ACPA-11oct16.pdf" TargetMode="External"/><Relationship Id="rId3" Type="http://schemas.openxmlformats.org/officeDocument/2006/relationships/styles" Target="styles.xml"/><Relationship Id="rId21" Type="http://schemas.openxmlformats.org/officeDocument/2006/relationships/hyperlink" Target="https://ww2.stj.jus.br/processo/revista/inteiroteor/?num_registro=201501957844&amp;dt_publicacao=03/03/2017" TargetMode="External"/><Relationship Id="rId7" Type="http://schemas.openxmlformats.org/officeDocument/2006/relationships/footnotes" Target="footnotes.xml"/><Relationship Id="rId12" Type="http://schemas.openxmlformats.org/officeDocument/2006/relationships/hyperlink" Target="http://www1.tce.pr.gov.br/multimidia/2017/3/pdf/00314282.pdf" TargetMode="External"/><Relationship Id="rId17" Type="http://schemas.openxmlformats.org/officeDocument/2006/relationships/hyperlink" Target="http://www1.tce.pr.gov.br/multimidia/2017/3/pdf/00314404.pdf" TargetMode="External"/><Relationship Id="rId25" Type="http://schemas.openxmlformats.org/officeDocument/2006/relationships/hyperlink" Target="https://contas.tcu.gov.br/sagas/SvlVisualizarRelVotoAcRtf?codFiltro=SAGAS-SESSAO-ENCERRADA&amp;seOcultaPagina=S&amp;item0=575239" TargetMode="External"/><Relationship Id="rId2" Type="http://schemas.openxmlformats.org/officeDocument/2006/relationships/numbering" Target="numbering.xml"/><Relationship Id="rId16" Type="http://schemas.openxmlformats.org/officeDocument/2006/relationships/hyperlink" Target="http://www1.tce.pr.gov.br/multimidia/2017/3/pdf/00314262.pdf" TargetMode="External"/><Relationship Id="rId20" Type="http://schemas.openxmlformats.org/officeDocument/2006/relationships/hyperlink" Target="http://www.stf.jus.br/portal/processo/verProcessoAndamento.asp?incidente=225017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tce.pr.gov.br/multimidia/2017/3/pdf/00314451.pdf" TargetMode="External"/><Relationship Id="rId24" Type="http://schemas.openxmlformats.org/officeDocument/2006/relationships/hyperlink" Target="https://contas.tcu.gov.br/sagas/SvlVisualizarRelVotoAcRtf?codFiltro=SAGAS-SESSAO-ENCERRADA&amp;seOcultaPagina=S&amp;item0=584550" TargetMode="External"/><Relationship Id="rId5" Type="http://schemas.openxmlformats.org/officeDocument/2006/relationships/settings" Target="settings.xml"/><Relationship Id="rId15" Type="http://schemas.openxmlformats.org/officeDocument/2006/relationships/hyperlink" Target="http://www1.tce.pr.gov.br/multimidia/2017/3/pdf/00314266.pdf" TargetMode="External"/><Relationship Id="rId23" Type="http://schemas.openxmlformats.org/officeDocument/2006/relationships/hyperlink" Target="https://contas.tcu.gov.br/sagas/SvlVisualizarRelVotoAcRtf?codFiltro=SAGAS-SESSAO-ENCERRADA&amp;seOcultaPagina=S&amp;item0=584780" TargetMode="External"/><Relationship Id="rId28" Type="http://schemas.openxmlformats.org/officeDocument/2006/relationships/footer" Target="footer1.xml"/><Relationship Id="rId10" Type="http://schemas.openxmlformats.org/officeDocument/2006/relationships/hyperlink" Target="http://www1.tce.pr.gov.br/multimidia/2017/3/pdf/00314440.pdf" TargetMode="External"/><Relationship Id="rId19" Type="http://schemas.openxmlformats.org/officeDocument/2006/relationships/hyperlink" Target="http://www1.tce.pr.gov.br/multimidia/2017/4/pdf/00314798.pdf" TargetMode="External"/><Relationship Id="rId4" Type="http://schemas.microsoft.com/office/2007/relationships/stylesWithEffects" Target="stylesWithEffects.xml"/><Relationship Id="rId9" Type="http://schemas.openxmlformats.org/officeDocument/2006/relationships/hyperlink" Target="http://www1.tce.pr.gov.br/multimidia/2017/3/pdf/00314708.pdf" TargetMode="External"/><Relationship Id="rId14" Type="http://schemas.openxmlformats.org/officeDocument/2006/relationships/hyperlink" Target="http://www1.tce.pr.gov.br/multimidia/2017/4/pdf/00314963.pdf" TargetMode="External"/><Relationship Id="rId22" Type="http://schemas.openxmlformats.org/officeDocument/2006/relationships/hyperlink" Target="https://contas.tcu.gov.br/sagas/SvlVisualizarRelVotoAcRtf?codFiltro=SAGAS-SESSAO-ENCERRADA&amp;seOcultaPagina=S&amp;item0=578830"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D4EC6-2405-4D96-9613-8B98020E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9</Pages>
  <Words>4051</Words>
  <Characters>21878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Tiago Moraes Ribeiro</cp:lastModifiedBy>
  <cp:revision>293</cp:revision>
  <cp:lastPrinted>2017-04-24T19:06:00Z</cp:lastPrinted>
  <dcterms:created xsi:type="dcterms:W3CDTF">2017-01-30T19:05:00Z</dcterms:created>
  <dcterms:modified xsi:type="dcterms:W3CDTF">2017-05-05T16:27:00Z</dcterms:modified>
</cp:coreProperties>
</file>